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CE" w:rsidRDefault="00B17BCE" w:rsidP="00B17BCE">
      <w:pPr>
        <w:widowControl w:val="0"/>
        <w:adjustRightInd/>
        <w:snapToGrid/>
        <w:spacing w:after="0"/>
        <w:jc w:val="center"/>
      </w:pPr>
      <w:r>
        <w:rPr>
          <w:rFonts w:ascii="宋体" w:eastAsia="宋体" w:hAnsi="宋体" w:cs="Times New Roman" w:hint="eastAsia"/>
          <w:b/>
          <w:kern w:val="2"/>
          <w:sz w:val="30"/>
          <w:szCs w:val="30"/>
        </w:rPr>
        <w:t>信复创值2号基金2016年第1季度报告</w:t>
      </w:r>
    </w:p>
    <w:p w:rsidR="00B17BCE" w:rsidRDefault="00B17BCE" w:rsidP="00B17BCE">
      <w:pPr>
        <w:spacing w:line="220" w:lineRule="atLeast"/>
        <w:jc w:val="center"/>
        <w:rPr>
          <w:rFonts w:ascii="宋体" w:eastAsia="宋体" w:hAnsi="宋体" w:cs="Times New Roman"/>
          <w:b/>
          <w:kern w:val="2"/>
          <w:sz w:val="30"/>
          <w:szCs w:val="30"/>
        </w:rPr>
      </w:pPr>
    </w:p>
    <w:p w:rsidR="00B17BCE" w:rsidRDefault="00B17BCE" w:rsidP="00B17BCE">
      <w:pPr>
        <w:pStyle w:val="1"/>
        <w:rPr>
          <w:rStyle w:val="a3"/>
          <w:vanish/>
          <w:color w:val="auto"/>
        </w:rPr>
      </w:pPr>
      <w:r>
        <w:rPr>
          <w:rFonts w:ascii="黑体" w:eastAsia="黑体" w:hAnsi="黑体" w:hint="eastAsia"/>
          <w:vanish/>
          <w:kern w:val="2"/>
          <w:sz w:val="24"/>
          <w:szCs w:val="24"/>
        </w:rPr>
        <w:fldChar w:fldCharType="begin"/>
      </w:r>
      <w:r>
        <w:rPr>
          <w:rFonts w:ascii="黑体" w:eastAsia="黑体" w:hAnsi="黑体" w:hint="eastAsia"/>
          <w:vanish/>
          <w:kern w:val="2"/>
          <w:sz w:val="24"/>
          <w:szCs w:val="24"/>
        </w:rPr>
        <w:instrText xml:space="preserve"> TOC \o "1-3" \n \p " " \h \z \u </w:instrText>
      </w:r>
      <w:r>
        <w:rPr>
          <w:rFonts w:ascii="黑体" w:eastAsia="黑体" w:hAnsi="黑体" w:hint="eastAsia"/>
          <w:vanish/>
          <w:kern w:val="2"/>
          <w:sz w:val="24"/>
          <w:szCs w:val="24"/>
        </w:rPr>
        <w:fldChar w:fldCharType="separate"/>
      </w:r>
      <w:hyperlink w:anchor="_Toc446167838" w:history="1">
        <w:r>
          <w:rPr>
            <w:rStyle w:val="a3"/>
            <w:rFonts w:hint="eastAsia"/>
            <w:b/>
            <w:caps/>
            <w:vanish/>
            <w:color w:val="auto"/>
          </w:rPr>
          <w:t>1、基金基本情况</w:t>
        </w:r>
      </w:hyperlink>
      <w:r>
        <w:rPr>
          <w:rStyle w:val="a3"/>
          <w:rFonts w:hint="eastAsia"/>
          <w:vanish/>
          <w:color w:val="auto"/>
        </w:rPr>
        <w:t xml:space="preserve"> </w:t>
      </w:r>
    </w:p>
    <w:p w:rsidR="00B17BCE" w:rsidRDefault="00F35859" w:rsidP="00B17BCE">
      <w:pPr>
        <w:pStyle w:val="1"/>
        <w:rPr>
          <w:rStyle w:val="a3"/>
          <w:b/>
          <w:caps/>
          <w:vanish/>
          <w:color w:val="auto"/>
        </w:rPr>
      </w:pPr>
      <w:hyperlink w:anchor="_Toc446167839" w:history="1">
        <w:r w:rsidR="00B17BCE">
          <w:rPr>
            <w:rStyle w:val="a3"/>
            <w:rFonts w:hint="eastAsia"/>
            <w:b/>
            <w:caps/>
            <w:vanish/>
            <w:color w:val="auto"/>
          </w:rPr>
          <w:t>2、基金净值表现</w:t>
        </w:r>
      </w:hyperlink>
      <w:r w:rsidR="00B17BCE">
        <w:rPr>
          <w:rStyle w:val="a3"/>
          <w:rFonts w:hint="eastAsia"/>
          <w:b/>
          <w:caps/>
          <w:vanish/>
          <w:color w:val="auto"/>
        </w:rPr>
        <w:t xml:space="preserve"> </w:t>
      </w:r>
    </w:p>
    <w:p w:rsidR="00B17BCE" w:rsidRDefault="00F35859" w:rsidP="00B17BCE">
      <w:pPr>
        <w:pStyle w:val="1"/>
        <w:rPr>
          <w:rStyle w:val="a3"/>
          <w:b/>
          <w:caps/>
          <w:vanish/>
          <w:color w:val="auto"/>
        </w:rPr>
      </w:pPr>
      <w:hyperlink w:anchor="_Toc446167840" w:history="1">
        <w:r w:rsidR="00B17BCE">
          <w:rPr>
            <w:rStyle w:val="a3"/>
            <w:rFonts w:hint="eastAsia"/>
            <w:b/>
            <w:caps/>
            <w:vanish/>
            <w:color w:val="auto"/>
          </w:rPr>
          <w:t>3、主要财务指标</w:t>
        </w:r>
      </w:hyperlink>
      <w:r w:rsidR="00B17BCE">
        <w:rPr>
          <w:rStyle w:val="a3"/>
          <w:rFonts w:hint="eastAsia"/>
          <w:b/>
          <w:caps/>
          <w:vanish/>
          <w:color w:val="auto"/>
        </w:rPr>
        <w:t xml:space="preserve"> </w:t>
      </w:r>
    </w:p>
    <w:p w:rsidR="00B17BCE" w:rsidRDefault="00F35859" w:rsidP="00B17BCE">
      <w:pPr>
        <w:pStyle w:val="1"/>
        <w:rPr>
          <w:rStyle w:val="a3"/>
          <w:b/>
          <w:caps/>
          <w:vanish/>
          <w:color w:val="auto"/>
        </w:rPr>
      </w:pPr>
      <w:hyperlink w:anchor="_Toc446167841" w:history="1">
        <w:r w:rsidR="00B17BCE">
          <w:rPr>
            <w:rStyle w:val="a3"/>
            <w:rFonts w:hint="eastAsia"/>
            <w:b/>
            <w:caps/>
            <w:vanish/>
            <w:color w:val="auto"/>
          </w:rPr>
          <w:t>4、投资组合报告</w:t>
        </w:r>
      </w:hyperlink>
      <w:r w:rsidR="00B17BCE">
        <w:rPr>
          <w:rStyle w:val="a3"/>
          <w:rFonts w:hint="eastAsia"/>
          <w:b/>
          <w:caps/>
          <w:vanish/>
          <w:color w:val="auto"/>
        </w:rPr>
        <w:t xml:space="preserve"> </w:t>
      </w:r>
    </w:p>
    <w:p w:rsidR="00B17BCE" w:rsidRDefault="00F35859" w:rsidP="00B17BCE">
      <w:pPr>
        <w:pStyle w:val="2"/>
        <w:rPr>
          <w:rStyle w:val="a3"/>
          <w:bCs w:val="0"/>
          <w:vanish/>
          <w:color w:val="auto"/>
        </w:rPr>
      </w:pPr>
      <w:hyperlink w:anchor="_Toc446167842" w:history="1">
        <w:r w:rsidR="00B17BCE">
          <w:rPr>
            <w:rStyle w:val="a3"/>
            <w:rFonts w:hint="eastAsia"/>
            <w:bCs w:val="0"/>
            <w:vanish/>
            <w:color w:val="auto"/>
          </w:rPr>
          <w:t>4.1 期末基金资产组合情况</w:t>
        </w:r>
      </w:hyperlink>
      <w:r w:rsidR="00B17BCE">
        <w:rPr>
          <w:rStyle w:val="a3"/>
          <w:rFonts w:hint="eastAsia"/>
          <w:bCs w:val="0"/>
          <w:vanish/>
          <w:color w:val="auto"/>
        </w:rPr>
        <w:t xml:space="preserve"> </w:t>
      </w:r>
    </w:p>
    <w:p w:rsidR="00B17BCE" w:rsidRDefault="00F35859" w:rsidP="00B17BCE">
      <w:pPr>
        <w:pStyle w:val="2"/>
        <w:rPr>
          <w:rStyle w:val="a3"/>
          <w:bCs w:val="0"/>
          <w:vanish/>
          <w:color w:val="auto"/>
        </w:rPr>
      </w:pPr>
      <w:hyperlink w:anchor="_Toc446167843" w:history="1">
        <w:r w:rsidR="00B17BCE">
          <w:rPr>
            <w:rStyle w:val="a3"/>
            <w:rFonts w:hint="eastAsia"/>
            <w:bCs w:val="0"/>
            <w:vanish/>
            <w:color w:val="auto"/>
          </w:rPr>
          <w:t>4.2 期末按行业分类的股票投资组合</w:t>
        </w:r>
      </w:hyperlink>
      <w:r w:rsidR="00B17BCE">
        <w:rPr>
          <w:rStyle w:val="a3"/>
          <w:rFonts w:hint="eastAsia"/>
          <w:bCs w:val="0"/>
          <w:vanish/>
          <w:color w:val="auto"/>
        </w:rPr>
        <w:t xml:space="preserve"> </w:t>
      </w:r>
    </w:p>
    <w:p w:rsidR="00B17BCE" w:rsidRDefault="00F35859" w:rsidP="00B17BCE">
      <w:pPr>
        <w:pStyle w:val="1"/>
        <w:rPr>
          <w:rStyle w:val="a3"/>
          <w:b/>
          <w:caps/>
          <w:vanish/>
          <w:color w:val="auto"/>
        </w:rPr>
      </w:pPr>
      <w:hyperlink w:anchor="_Toc446167844" w:history="1">
        <w:r w:rsidR="00B17BCE">
          <w:rPr>
            <w:rStyle w:val="a3"/>
            <w:rFonts w:hint="eastAsia"/>
            <w:b/>
            <w:caps/>
            <w:vanish/>
            <w:color w:val="auto"/>
          </w:rPr>
          <w:t>5、基金份额变动情况</w:t>
        </w:r>
      </w:hyperlink>
      <w:r w:rsidR="00B17BCE">
        <w:rPr>
          <w:rStyle w:val="a3"/>
          <w:rFonts w:hint="eastAsia"/>
          <w:b/>
          <w:caps/>
          <w:vanish/>
          <w:color w:val="auto"/>
        </w:rPr>
        <w:t xml:space="preserve"> </w:t>
      </w:r>
    </w:p>
    <w:p w:rsidR="00B17BCE" w:rsidRDefault="00F35859" w:rsidP="00B17BCE">
      <w:pPr>
        <w:pStyle w:val="1"/>
        <w:rPr>
          <w:rStyle w:val="a3"/>
          <w:b/>
          <w:caps/>
          <w:vanish/>
          <w:color w:val="auto"/>
        </w:rPr>
      </w:pPr>
      <w:hyperlink w:anchor="_Toc446167845" w:history="1">
        <w:r w:rsidR="00B17BCE">
          <w:rPr>
            <w:rStyle w:val="a3"/>
            <w:rFonts w:hint="eastAsia"/>
            <w:b/>
            <w:caps/>
            <w:vanish/>
            <w:color w:val="auto"/>
          </w:rPr>
          <w:t>6、管理人报告</w:t>
        </w:r>
      </w:hyperlink>
      <w:r w:rsidR="00B17BCE">
        <w:rPr>
          <w:rStyle w:val="a3"/>
          <w:rFonts w:hint="eastAsia"/>
          <w:b/>
          <w:caps/>
          <w:vanish/>
          <w:color w:val="auto"/>
        </w:rPr>
        <w:t xml:space="preserve"> </w:t>
      </w:r>
    </w:p>
    <w:p w:rsidR="00B17BCE" w:rsidRDefault="00B17BCE" w:rsidP="00B17BCE">
      <w:pPr>
        <w:spacing w:after="0" w:line="260" w:lineRule="exact"/>
        <w:rPr>
          <w:rFonts w:ascii="黑体" w:eastAsia="黑体" w:hAnsi="黑体"/>
          <w:kern w:val="2"/>
          <w:sz w:val="24"/>
          <w:szCs w:val="24"/>
        </w:rPr>
      </w:pPr>
      <w:r>
        <w:rPr>
          <w:rFonts w:ascii="黑体" w:eastAsia="黑体" w:hAnsi="黑体" w:hint="eastAsia"/>
          <w:kern w:val="2"/>
          <w:sz w:val="24"/>
          <w:szCs w:val="24"/>
        </w:rPr>
        <w:fldChar w:fldCharType="end"/>
      </w:r>
    </w:p>
    <w:p w:rsidR="00B17BCE" w:rsidRDefault="00B17BCE" w:rsidP="00B17BCE">
      <w:pPr>
        <w:spacing w:after="0" w:line="220" w:lineRule="atLeast"/>
        <w:outlineLvl w:val="0"/>
        <w:rPr>
          <w:rFonts w:ascii="宋体" w:eastAsia="宋体" w:hAnsi="宋体" w:cs="Times New Roman"/>
          <w:b/>
          <w:kern w:val="2"/>
          <w:sz w:val="24"/>
          <w:szCs w:val="24"/>
        </w:rPr>
      </w:pPr>
      <w:bookmarkStart w:id="0" w:name="_Toc446167838"/>
      <w:r>
        <w:rPr>
          <w:rFonts w:ascii="宋体" w:eastAsia="宋体" w:hAnsi="宋体" w:cs="Times New Roman" w:hint="eastAsia"/>
          <w:b/>
          <w:kern w:val="2"/>
          <w:sz w:val="24"/>
          <w:szCs w:val="24"/>
        </w:rPr>
        <w:t>1、基金基本情况</w:t>
      </w:r>
      <w:bookmarkEnd w:id="0"/>
      <w:r>
        <w:rPr>
          <w:rFonts w:ascii="宋体" w:eastAsia="宋体" w:hAnsi="宋体" w:cs="Times New Roman" w:hint="eastAsia"/>
          <w:b/>
          <w:kern w:val="2"/>
          <w:sz w:val="24"/>
          <w:szCs w:val="24"/>
        </w:rPr>
        <w:t xml:space="preserve"> </w:t>
      </w:r>
    </w:p>
    <w:p w:rsidR="00B17BCE" w:rsidRDefault="00B17BCE" w:rsidP="00B17BCE">
      <w:pPr>
        <w:pStyle w:val="a4"/>
        <w:spacing w:after="0" w:line="220" w:lineRule="atLeast"/>
        <w:ind w:left="360" w:firstLineChars="0" w:firstLine="0"/>
        <w:rPr>
          <w:rFonts w:ascii="宋体" w:eastAsia="宋体" w:hAnsi="宋体" w:cs="Times New Roman"/>
          <w:kern w:val="2"/>
          <w:sz w:val="21"/>
          <w:szCs w:val="21"/>
        </w:rPr>
      </w:pPr>
    </w:p>
    <w:tbl>
      <w:tblPr>
        <w:tblStyle w:val="a5"/>
        <w:tblW w:w="5000" w:type="pct"/>
        <w:tblInd w:w="108" w:type="dxa"/>
        <w:tblLook w:val="04A0" w:firstRow="1" w:lastRow="0" w:firstColumn="1" w:lastColumn="0" w:noHBand="0" w:noVBand="1"/>
      </w:tblPr>
      <w:tblGrid>
        <w:gridCol w:w="3589"/>
        <w:gridCol w:w="4707"/>
      </w:tblGrid>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项目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信息 </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基金名称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信复创值2号基金</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基金编号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S20770</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基金管理人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北京信复创值投资管理有限公司</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基金托管人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招商证券股份有限公司</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基金运作方式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契约型开放式</w:t>
            </w:r>
          </w:p>
        </w:tc>
      </w:tr>
      <w:tr w:rsidR="00B17BCE" w:rsidTr="00B47F8F">
        <w:trPr>
          <w:trHeight w:hRule="exact" w:val="28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基金合同生效日期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2014年08月25日</w:t>
            </w:r>
          </w:p>
        </w:tc>
      </w:tr>
      <w:tr w:rsidR="00B17BCE" w:rsidTr="00B47F8F">
        <w:trPr>
          <w:trHeight w:hRule="exact" w:val="324"/>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报告期末基金份额总额 </w:t>
            </w:r>
          </w:p>
        </w:tc>
        <w:tc>
          <w:tcPr>
            <w:tcW w:w="283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cstheme="minorBidi"/>
              </w:rPr>
            </w:pPr>
            <w:r>
              <w:rPr>
                <w:rFonts w:ascii="宋体" w:eastAsia="宋体" w:hAnsi="宋体" w:cstheme="minorBidi" w:hint="eastAsia"/>
                <w:sz w:val="21"/>
                <w:szCs w:val="21"/>
              </w:rPr>
              <w:t>31,950,041.84</w:t>
            </w:r>
            <w:r>
              <w:rPr>
                <w:rFonts w:ascii="宋体" w:eastAsia="宋体" w:hAnsi="宋体" w:hint="eastAsia"/>
                <w:sz w:val="21"/>
                <w:szCs w:val="21"/>
              </w:rPr>
              <w:t>份</w:t>
            </w:r>
          </w:p>
        </w:tc>
      </w:tr>
      <w:tr w:rsidR="00B17BCE" w:rsidTr="00B47F8F">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220" w:lineRule="atLeast"/>
              <w:jc w:val="both"/>
              <w:rPr>
                <w:rFonts w:ascii="宋体" w:eastAsia="宋体" w:hAnsi="宋体" w:cstheme="minorBidi"/>
                <w:sz w:val="21"/>
                <w:szCs w:val="21"/>
              </w:rPr>
            </w:pPr>
            <w:r>
              <w:rPr>
                <w:rFonts w:ascii="宋体" w:eastAsia="宋体" w:hAnsi="宋体" w:cstheme="minorBidi" w:hint="eastAsia"/>
                <w:sz w:val="21"/>
                <w:szCs w:val="21"/>
              </w:rPr>
              <w:t xml:space="preserve">投资目标 </w:t>
            </w:r>
          </w:p>
        </w:tc>
        <w:tc>
          <w:tcPr>
            <w:tcW w:w="4435"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rPr>
                <w:rFonts w:cstheme="minorBidi"/>
              </w:rPr>
            </w:pPr>
            <w:r>
              <w:rPr>
                <w:rFonts w:ascii="宋体" w:eastAsia="宋体" w:hAnsi="宋体" w:cstheme="minorBidi" w:hint="eastAsia"/>
                <w:sz w:val="21"/>
                <w:szCs w:val="21"/>
              </w:rPr>
              <w:t>追求长期年平均回报率超越沪深300指数，为客户创造长期稳定的绝对回报。</w:t>
            </w:r>
          </w:p>
        </w:tc>
      </w:tr>
      <w:tr w:rsidR="00B17BCE" w:rsidTr="00B47F8F">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投资策略 </w:t>
            </w:r>
          </w:p>
        </w:tc>
        <w:tc>
          <w:tcPr>
            <w:tcW w:w="4435"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rPr>
                <w:rFonts w:cstheme="minorBidi"/>
              </w:rPr>
            </w:pPr>
            <w:r>
              <w:rPr>
                <w:rFonts w:ascii="宋体" w:eastAsia="宋体" w:hAnsi="宋体" w:cstheme="minorBidi" w:hint="eastAsia"/>
                <w:sz w:val="21"/>
                <w:szCs w:val="21"/>
              </w:rPr>
              <w:t>公司选用“量化选股，量化择时”的投资策略。公司将长期的主动投资实战方法与量化投资方法相结合，形成了公司多策略的投资体系。公司采用立足于大数据研究之上的量化模型投资方法，以公开的市场数据为基础，采用不同的量化工具识别跟踪市场最具上涨潜力的股票组合，并量化择时投资，以追求风险调整后的最优回报。</w:t>
            </w:r>
          </w:p>
        </w:tc>
      </w:tr>
      <w:tr w:rsidR="00B17BCE" w:rsidTr="00B47F8F">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业绩比较基准 </w:t>
            </w:r>
          </w:p>
        </w:tc>
        <w:tc>
          <w:tcPr>
            <w:tcW w:w="4435"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rPr>
                <w:rFonts w:cstheme="minorBidi"/>
              </w:rPr>
            </w:pPr>
            <w:r>
              <w:rPr>
                <w:rFonts w:ascii="宋体" w:eastAsia="宋体" w:hAnsi="宋体" w:cstheme="minorBidi" w:hint="eastAsia"/>
                <w:sz w:val="21"/>
                <w:szCs w:val="21"/>
              </w:rPr>
              <w:t>沪深300股指</w:t>
            </w:r>
          </w:p>
        </w:tc>
      </w:tr>
      <w:tr w:rsidR="00B17BCE" w:rsidTr="00B47F8F">
        <w:trPr>
          <w:trHeight w:val="340"/>
        </w:trPr>
        <w:tc>
          <w:tcPr>
            <w:tcW w:w="216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heme="minorBidi"/>
                <w:sz w:val="21"/>
                <w:szCs w:val="21"/>
              </w:rPr>
            </w:pPr>
            <w:r>
              <w:rPr>
                <w:rFonts w:ascii="宋体" w:eastAsia="宋体" w:hAnsi="宋体" w:cstheme="minorBidi" w:hint="eastAsia"/>
                <w:sz w:val="21"/>
                <w:szCs w:val="21"/>
              </w:rPr>
              <w:t xml:space="preserve">风险收益特征 </w:t>
            </w:r>
          </w:p>
        </w:tc>
        <w:tc>
          <w:tcPr>
            <w:tcW w:w="4435"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DF5222">
            <w:pPr>
              <w:rPr>
                <w:rFonts w:cstheme="minorBidi"/>
              </w:rPr>
            </w:pPr>
            <w:r>
              <w:rPr>
                <w:rFonts w:ascii="宋体" w:eastAsia="宋体" w:hAnsi="宋体" w:cstheme="minorBidi" w:hint="eastAsia"/>
                <w:sz w:val="21"/>
                <w:szCs w:val="21"/>
              </w:rPr>
              <w:t>本季末最新净值为1.</w:t>
            </w:r>
            <w:r w:rsidR="00DF5222">
              <w:rPr>
                <w:rFonts w:ascii="宋体" w:eastAsia="宋体" w:hAnsi="宋体" w:cstheme="minorBidi"/>
                <w:sz w:val="21"/>
                <w:szCs w:val="21"/>
              </w:rPr>
              <w:t>8176</w:t>
            </w:r>
            <w:r>
              <w:rPr>
                <w:rFonts w:ascii="宋体" w:eastAsia="宋体" w:hAnsi="宋体" w:cstheme="minorBidi" w:hint="eastAsia"/>
                <w:sz w:val="21"/>
                <w:szCs w:val="21"/>
              </w:rPr>
              <w:t>，收益率标准差为0.0502，小于同类平均的0.0709。</w:t>
            </w:r>
          </w:p>
        </w:tc>
      </w:tr>
    </w:tbl>
    <w:p w:rsidR="00B17BCE" w:rsidRDefault="00B17BCE" w:rsidP="00B17BCE">
      <w:pPr>
        <w:pStyle w:val="a4"/>
        <w:spacing w:after="0" w:line="220" w:lineRule="atLeast"/>
        <w:ind w:left="360" w:firstLineChars="0" w:firstLine="0"/>
        <w:rPr>
          <w:sz w:val="24"/>
          <w:szCs w:val="24"/>
        </w:rPr>
      </w:pPr>
    </w:p>
    <w:p w:rsidR="00B17BCE" w:rsidRDefault="00B17BCE" w:rsidP="00B17BCE">
      <w:pPr>
        <w:spacing w:after="0" w:line="220" w:lineRule="atLeast"/>
        <w:outlineLvl w:val="0"/>
        <w:rPr>
          <w:rFonts w:ascii="宋体" w:eastAsia="宋体" w:hAnsi="宋体" w:cs="Times New Roman"/>
          <w:b/>
          <w:kern w:val="2"/>
          <w:sz w:val="24"/>
          <w:szCs w:val="24"/>
        </w:rPr>
      </w:pPr>
      <w:bookmarkStart w:id="1" w:name="_Toc446167839"/>
      <w:r>
        <w:rPr>
          <w:rFonts w:ascii="宋体" w:eastAsia="宋体" w:hAnsi="宋体" w:cs="Times New Roman" w:hint="eastAsia"/>
          <w:b/>
          <w:kern w:val="2"/>
          <w:sz w:val="24"/>
          <w:szCs w:val="24"/>
        </w:rPr>
        <w:t>2、基金净值表现</w:t>
      </w:r>
      <w:bookmarkEnd w:id="1"/>
      <w:r>
        <w:rPr>
          <w:rFonts w:ascii="宋体" w:eastAsia="宋体" w:hAnsi="宋体" w:cs="Times New Roman" w:hint="eastAsia"/>
          <w:b/>
          <w:kern w:val="2"/>
          <w:sz w:val="24"/>
          <w:szCs w:val="24"/>
        </w:rPr>
        <w:t xml:space="preserve"> </w:t>
      </w:r>
    </w:p>
    <w:p w:rsidR="00B17BCE" w:rsidRDefault="00B17BCE" w:rsidP="00B17BCE">
      <w:pPr>
        <w:pStyle w:val="a4"/>
        <w:spacing w:after="0" w:line="220" w:lineRule="atLeast"/>
        <w:ind w:left="360" w:firstLineChars="0" w:firstLine="0"/>
        <w:rPr>
          <w:rFonts w:ascii="宋体" w:eastAsia="宋体" w:hAnsi="宋体" w:cs="Times New Roman"/>
          <w:b/>
          <w:kern w:val="2"/>
          <w:sz w:val="21"/>
          <w:szCs w:val="21"/>
        </w:rPr>
      </w:pPr>
    </w:p>
    <w:tbl>
      <w:tblPr>
        <w:tblStyle w:val="a5"/>
        <w:tblW w:w="8505" w:type="dxa"/>
        <w:tblInd w:w="108" w:type="dxa"/>
        <w:tblLook w:val="04A0" w:firstRow="1" w:lastRow="0" w:firstColumn="1" w:lastColumn="0" w:noHBand="0" w:noVBand="1"/>
      </w:tblPr>
      <w:tblGrid>
        <w:gridCol w:w="1276"/>
        <w:gridCol w:w="1701"/>
        <w:gridCol w:w="1843"/>
        <w:gridCol w:w="1843"/>
        <w:gridCol w:w="1842"/>
      </w:tblGrid>
      <w:tr w:rsidR="00B17BCE" w:rsidTr="00B47F8F">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阶段</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净值增长率</w:t>
            </w:r>
            <w:r>
              <w:rPr>
                <w:rFonts w:ascii="宋体" w:eastAsia="宋体" w:hAnsi="宋体" w:cs="Times New Roman" w:hint="eastAsia"/>
                <w:b/>
                <w:kern w:val="2"/>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净值增长率标准差</w:t>
            </w:r>
            <w:r>
              <w:rPr>
                <w:rFonts w:ascii="宋体" w:eastAsia="宋体" w:hAnsi="宋体" w:cs="Times New Roman" w:hint="eastAsia"/>
                <w:b/>
                <w:kern w:val="2"/>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业绩比较基准收益率</w:t>
            </w:r>
            <w:r>
              <w:rPr>
                <w:rFonts w:ascii="宋体" w:eastAsia="宋体" w:hAnsi="宋体" w:cs="Times New Roman" w:hint="eastAsia"/>
                <w:b/>
                <w:kern w:val="2"/>
                <w:sz w:val="21"/>
                <w:szCs w:val="21"/>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业绩比较基准收益率标准差</w:t>
            </w:r>
            <w:r>
              <w:rPr>
                <w:rFonts w:ascii="宋体" w:eastAsia="宋体" w:hAnsi="宋体" w:cs="Times New Roman" w:hint="eastAsia"/>
                <w:b/>
                <w:kern w:val="2"/>
                <w:sz w:val="21"/>
                <w:szCs w:val="21"/>
              </w:rPr>
              <w:t xml:space="preserve"> </w:t>
            </w:r>
          </w:p>
        </w:tc>
      </w:tr>
      <w:tr w:rsidR="00B17BCE" w:rsidTr="00B47F8F">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当季</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-0.61%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rPr>
          <w:trHeight w:val="340"/>
        </w:trPr>
        <w:tc>
          <w:tcPr>
            <w:tcW w:w="127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center"/>
              <w:rPr>
                <w:rFonts w:ascii="宋体" w:eastAsia="宋体" w:hAnsi="宋体" w:cs="Times New Roman"/>
                <w:b/>
                <w:kern w:val="2"/>
                <w:sz w:val="21"/>
                <w:szCs w:val="21"/>
              </w:rPr>
            </w:pPr>
            <w:r>
              <w:rPr>
                <w:rFonts w:ascii="宋体" w:eastAsia="宋体" w:hAnsi="宋体" w:cstheme="minorBidi" w:hint="eastAsia"/>
                <w:sz w:val="21"/>
                <w:szCs w:val="21"/>
              </w:rPr>
              <w:t>自基金合同生效起至今</w:t>
            </w:r>
            <w:r>
              <w:rPr>
                <w:rFonts w:ascii="宋体" w:eastAsia="宋体" w:hAnsi="宋体" w:cs="Times New Roman" w:hint="eastAsia"/>
                <w:b/>
                <w:kern w:val="2"/>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81.76%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bl>
    <w:p w:rsidR="00B17BCE" w:rsidRDefault="00B17BCE" w:rsidP="00B17BCE">
      <w:pPr>
        <w:widowControl w:val="0"/>
        <w:adjustRightInd/>
        <w:snapToGrid/>
        <w:spacing w:after="0"/>
        <w:jc w:val="both"/>
        <w:rPr>
          <w:rFonts w:ascii="Times New Roman" w:eastAsia="宋体" w:hAnsi="Times New Roman" w:cs="Times New Roman"/>
          <w:kern w:val="2"/>
          <w:sz w:val="21"/>
          <w:szCs w:val="20"/>
        </w:rPr>
      </w:pPr>
    </w:p>
    <w:p w:rsidR="00B17BCE" w:rsidRDefault="00B17BCE" w:rsidP="00B17BCE">
      <w:pPr>
        <w:widowControl w:val="0"/>
        <w:adjustRightInd/>
        <w:snapToGrid/>
        <w:spacing w:after="0"/>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说明：净值增长率等于（期末累计净值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期初累计净值）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期初累计净值</w:t>
      </w:r>
      <w:r>
        <w:rPr>
          <w:rFonts w:ascii="Times New Roman" w:eastAsia="宋体" w:hAnsi="Times New Roman" w:cs="Times New Roman"/>
          <w:kern w:val="2"/>
          <w:sz w:val="21"/>
          <w:szCs w:val="20"/>
        </w:rPr>
        <w:t xml:space="preserve"> </w:t>
      </w:r>
    </w:p>
    <w:p w:rsidR="00B17BCE" w:rsidRDefault="00B17BCE" w:rsidP="00B17BCE">
      <w:pPr>
        <w:widowControl w:val="0"/>
        <w:adjustRightInd/>
        <w:snapToGrid/>
        <w:spacing w:after="0"/>
        <w:ind w:firstLineChars="300" w:firstLine="630"/>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当季净值增长率等于（本季度末累计净值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上季度末累计净值）</w:t>
      </w: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上季度末累计净值</w:t>
      </w:r>
      <w:r>
        <w:rPr>
          <w:rFonts w:ascii="Times New Roman" w:eastAsia="宋体" w:hAnsi="Times New Roman" w:cs="Times New Roman"/>
          <w:kern w:val="2"/>
          <w:sz w:val="21"/>
          <w:szCs w:val="20"/>
        </w:rPr>
        <w:t xml:space="preserve"> </w:t>
      </w:r>
    </w:p>
    <w:p w:rsidR="00B17BCE" w:rsidRDefault="00B17BCE" w:rsidP="00B17BCE">
      <w:pPr>
        <w:pStyle w:val="a4"/>
        <w:spacing w:after="0" w:line="220" w:lineRule="atLeast"/>
        <w:ind w:left="360" w:firstLineChars="0" w:firstLine="0"/>
        <w:rPr>
          <w:rFonts w:ascii="宋体" w:eastAsia="宋体" w:hAnsi="宋体" w:cs="Times New Roman"/>
          <w:b/>
          <w:kern w:val="2"/>
          <w:sz w:val="21"/>
          <w:szCs w:val="21"/>
        </w:rPr>
      </w:pPr>
    </w:p>
    <w:p w:rsidR="00B17BCE" w:rsidRDefault="00B17BCE" w:rsidP="00B17BCE">
      <w:pPr>
        <w:spacing w:after="0" w:line="220" w:lineRule="atLeast"/>
        <w:outlineLvl w:val="0"/>
        <w:rPr>
          <w:rFonts w:ascii="宋体" w:eastAsia="宋体" w:hAnsi="宋体" w:cs="Times New Roman"/>
          <w:b/>
          <w:kern w:val="2"/>
          <w:sz w:val="24"/>
          <w:szCs w:val="24"/>
        </w:rPr>
      </w:pPr>
      <w:bookmarkStart w:id="2" w:name="_Toc446167840"/>
      <w:r>
        <w:rPr>
          <w:rFonts w:ascii="宋体" w:eastAsia="宋体" w:hAnsi="宋体" w:cs="Times New Roman" w:hint="eastAsia"/>
          <w:b/>
          <w:kern w:val="2"/>
          <w:sz w:val="24"/>
          <w:szCs w:val="24"/>
        </w:rPr>
        <w:t>3、主要财务指标</w:t>
      </w:r>
      <w:bookmarkEnd w:id="2"/>
      <w:r>
        <w:rPr>
          <w:rFonts w:ascii="宋体" w:eastAsia="宋体" w:hAnsi="宋体" w:cs="Times New Roman" w:hint="eastAsia"/>
          <w:b/>
          <w:kern w:val="2"/>
          <w:sz w:val="24"/>
          <w:szCs w:val="24"/>
        </w:rPr>
        <w:t xml:space="preserve"> </w:t>
      </w:r>
    </w:p>
    <w:p w:rsidR="00B17BCE" w:rsidRDefault="00B17BCE" w:rsidP="00B17BCE">
      <w:pPr>
        <w:pStyle w:val="a4"/>
        <w:spacing w:after="0" w:line="220" w:lineRule="atLeast"/>
        <w:ind w:left="360"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单位：人民币元 </w:t>
      </w:r>
    </w:p>
    <w:tbl>
      <w:tblPr>
        <w:tblStyle w:val="a5"/>
        <w:tblW w:w="8505" w:type="dxa"/>
        <w:tblInd w:w="108" w:type="dxa"/>
        <w:tblLook w:val="04A0" w:firstRow="1" w:lastRow="0" w:firstColumn="1" w:lastColumn="0" w:noHBand="0" w:noVBand="1"/>
      </w:tblPr>
      <w:tblGrid>
        <w:gridCol w:w="3686"/>
        <w:gridCol w:w="4819"/>
      </w:tblGrid>
      <w:tr w:rsidR="00B17BCE" w:rsidTr="00B47F8F">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项目</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wordWrap w:val="0"/>
              <w:spacing w:after="0" w:line="220" w:lineRule="atLeast"/>
              <w:ind w:firstLineChars="0" w:firstLine="0"/>
              <w:jc w:val="right"/>
              <w:rPr>
                <w:rFonts w:cstheme="minorBidi"/>
              </w:rPr>
            </w:pPr>
            <w:r>
              <w:rPr>
                <w:rFonts w:ascii="宋体" w:eastAsia="宋体" w:hAnsi="宋体" w:cstheme="minorBidi" w:hint="eastAsia"/>
                <w:sz w:val="21"/>
                <w:szCs w:val="21"/>
              </w:rPr>
              <w:t>2016-01-01</w:t>
            </w:r>
            <w:r>
              <w:rPr>
                <w:rFonts w:ascii="宋体" w:eastAsia="宋体" w:hAnsi="宋体" w:hint="eastAsia"/>
                <w:sz w:val="21"/>
                <w:szCs w:val="21"/>
              </w:rPr>
              <w:t>至2016-03-31</w:t>
            </w:r>
          </w:p>
        </w:tc>
      </w:tr>
      <w:tr w:rsidR="00B17BCE" w:rsidTr="00B47F8F">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本期已实现收益</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-4,137,256.80</w:t>
            </w:r>
          </w:p>
        </w:tc>
      </w:tr>
      <w:tr w:rsidR="00B17BCE" w:rsidTr="00B47F8F">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本期利润</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-161,373.37</w:t>
            </w:r>
          </w:p>
        </w:tc>
      </w:tr>
      <w:tr w:rsidR="00B17BCE" w:rsidTr="00B47F8F">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期末基金资产净值</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58,072,838.00</w:t>
            </w:r>
          </w:p>
        </w:tc>
      </w:tr>
      <w:tr w:rsidR="00B17BCE" w:rsidTr="00B47F8F">
        <w:trPr>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both"/>
              <w:rPr>
                <w:rFonts w:ascii="宋体" w:eastAsia="宋体" w:hAnsi="宋体" w:cs="Times New Roman"/>
                <w:b/>
                <w:kern w:val="2"/>
                <w:sz w:val="21"/>
                <w:szCs w:val="21"/>
              </w:rPr>
            </w:pPr>
            <w:r>
              <w:rPr>
                <w:rFonts w:ascii="宋体" w:eastAsia="宋体" w:hAnsi="宋体" w:cstheme="minorBidi" w:hint="eastAsia"/>
                <w:sz w:val="21"/>
                <w:szCs w:val="21"/>
              </w:rPr>
              <w:t>期末基金份额净值</w:t>
            </w:r>
            <w:r>
              <w:rPr>
                <w:rFonts w:ascii="宋体" w:eastAsia="宋体" w:hAnsi="宋体" w:cs="Times New Roman" w:hint="eastAsia"/>
                <w:b/>
                <w:kern w:val="2"/>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1.8176</w:t>
            </w:r>
          </w:p>
        </w:tc>
      </w:tr>
    </w:tbl>
    <w:p w:rsidR="00B17BCE" w:rsidRDefault="00B17BCE" w:rsidP="00B17BCE">
      <w:pPr>
        <w:pStyle w:val="a4"/>
        <w:spacing w:after="0" w:line="220" w:lineRule="atLeast"/>
        <w:ind w:left="360" w:firstLineChars="0" w:firstLine="0"/>
        <w:rPr>
          <w:rFonts w:ascii="宋体" w:eastAsia="宋体" w:hAnsi="宋体" w:cs="Times New Roman"/>
          <w:b/>
          <w:kern w:val="2"/>
          <w:sz w:val="21"/>
          <w:szCs w:val="21"/>
        </w:rPr>
      </w:pPr>
    </w:p>
    <w:p w:rsidR="00B17BCE" w:rsidRDefault="00B17BCE" w:rsidP="00B17BCE">
      <w:pPr>
        <w:spacing w:after="0" w:line="220" w:lineRule="atLeast"/>
        <w:outlineLvl w:val="0"/>
        <w:rPr>
          <w:rFonts w:ascii="宋体" w:eastAsia="宋体" w:hAnsi="宋体" w:cs="Times New Roman"/>
          <w:b/>
          <w:kern w:val="2"/>
          <w:sz w:val="24"/>
          <w:szCs w:val="24"/>
        </w:rPr>
      </w:pPr>
      <w:bookmarkStart w:id="3" w:name="_Toc446167841"/>
      <w:r>
        <w:rPr>
          <w:rFonts w:ascii="宋体" w:eastAsia="宋体" w:hAnsi="宋体" w:cs="Times New Roman" w:hint="eastAsia"/>
          <w:b/>
          <w:kern w:val="2"/>
          <w:sz w:val="24"/>
          <w:szCs w:val="24"/>
        </w:rPr>
        <w:lastRenderedPageBreak/>
        <w:t>4、投资组合报告</w:t>
      </w:r>
      <w:bookmarkEnd w:id="3"/>
      <w:r>
        <w:rPr>
          <w:rFonts w:ascii="宋体" w:eastAsia="宋体" w:hAnsi="宋体" w:cs="Times New Roman" w:hint="eastAsia"/>
          <w:b/>
          <w:kern w:val="2"/>
          <w:sz w:val="24"/>
          <w:szCs w:val="24"/>
        </w:rPr>
        <w:t xml:space="preserve"> </w:t>
      </w:r>
    </w:p>
    <w:p w:rsidR="00B17BCE" w:rsidRDefault="00B17BCE" w:rsidP="00B17BCE">
      <w:pPr>
        <w:pStyle w:val="a4"/>
        <w:spacing w:after="0" w:line="400" w:lineRule="exact"/>
        <w:ind w:firstLineChars="0" w:firstLine="0"/>
        <w:outlineLvl w:val="1"/>
        <w:rPr>
          <w:rFonts w:ascii="宋体" w:eastAsia="宋体" w:hAnsi="宋体" w:cs="Times New Roman"/>
          <w:b/>
          <w:kern w:val="2"/>
          <w:sz w:val="21"/>
          <w:szCs w:val="21"/>
        </w:rPr>
      </w:pPr>
      <w:bookmarkStart w:id="4" w:name="_Toc446167842"/>
      <w:r>
        <w:rPr>
          <w:rFonts w:ascii="宋体" w:eastAsia="宋体" w:hAnsi="宋体" w:cs="Times New Roman" w:hint="eastAsia"/>
          <w:b/>
          <w:kern w:val="2"/>
          <w:sz w:val="21"/>
          <w:szCs w:val="21"/>
        </w:rPr>
        <w:t>4.1 期末基金资产组合情况</w:t>
      </w:r>
      <w:bookmarkEnd w:id="4"/>
      <w:r>
        <w:rPr>
          <w:rFonts w:ascii="宋体" w:eastAsia="宋体" w:hAnsi="宋体" w:cs="Times New Roman" w:hint="eastAsia"/>
          <w:b/>
          <w:kern w:val="2"/>
          <w:sz w:val="21"/>
          <w:szCs w:val="21"/>
        </w:rPr>
        <w:t xml:space="preserve"> </w:t>
      </w:r>
    </w:p>
    <w:p w:rsidR="00B17BCE" w:rsidRDefault="00B17BCE" w:rsidP="00B17BCE">
      <w:pPr>
        <w:pStyle w:val="a4"/>
        <w:spacing w:after="0" w:line="400" w:lineRule="exact"/>
        <w:ind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金额单位：元 </w:t>
      </w:r>
    </w:p>
    <w:tbl>
      <w:tblPr>
        <w:tblStyle w:val="a5"/>
        <w:tblW w:w="4990" w:type="pct"/>
        <w:tblInd w:w="108" w:type="dxa"/>
        <w:tblLook w:val="04A0" w:firstRow="1" w:lastRow="0" w:firstColumn="1" w:lastColumn="0" w:noHBand="0" w:noVBand="1"/>
      </w:tblPr>
      <w:tblGrid>
        <w:gridCol w:w="691"/>
        <w:gridCol w:w="3702"/>
        <w:gridCol w:w="2075"/>
        <w:gridCol w:w="1811"/>
      </w:tblGrid>
      <w:tr w:rsidR="00B17BCE" w:rsidTr="00B47F8F">
        <w:tc>
          <w:tcPr>
            <w:tcW w:w="41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序号 </w:t>
            </w:r>
          </w:p>
        </w:tc>
        <w:tc>
          <w:tcPr>
            <w:tcW w:w="2236"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项目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金额 </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占基金总资产的 </w:t>
            </w:r>
          </w:p>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比例（%） </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1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权益投资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58,002,916.00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99.83</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其中：普通股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58,002,916.00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99.83</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存托凭证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2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基金投资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3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固定收益投资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其中：债券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资产支持证券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4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金融衍生品投资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其中：远期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期货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ind w:firstLineChars="300" w:firstLine="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期权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ind w:firstLineChars="298" w:firstLine="626"/>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权证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5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买入返售金融资产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ind w:left="630" w:hangingChars="300" w:hanging="63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其中：买断式回购的买入返售金融资产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6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货币市场工具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7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银行存款和结算备付金合计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51,040.82</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0.09</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8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其他各项资产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45,951.49</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0.08</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color w:val="000000"/>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58,099,908.31</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100.00</w:t>
            </w:r>
          </w:p>
        </w:tc>
      </w:tr>
    </w:tbl>
    <w:p w:rsidR="00B17BCE" w:rsidRDefault="00B17BCE" w:rsidP="00B17BCE">
      <w:pPr>
        <w:pStyle w:val="a4"/>
        <w:spacing w:after="0" w:line="220" w:lineRule="atLeast"/>
        <w:ind w:left="360" w:firstLineChars="0" w:firstLine="0"/>
        <w:rPr>
          <w:rFonts w:ascii="宋体" w:eastAsia="宋体" w:hAnsi="宋体" w:cs="Times New Roman"/>
          <w:b/>
          <w:kern w:val="2"/>
          <w:sz w:val="21"/>
          <w:szCs w:val="21"/>
        </w:rPr>
      </w:pPr>
    </w:p>
    <w:p w:rsidR="00B17BCE" w:rsidRDefault="00B17BCE" w:rsidP="00B17BCE">
      <w:pPr>
        <w:pStyle w:val="a4"/>
        <w:spacing w:after="0" w:line="400" w:lineRule="exact"/>
        <w:ind w:firstLineChars="0" w:firstLine="0"/>
        <w:outlineLvl w:val="1"/>
        <w:rPr>
          <w:rFonts w:ascii="宋体" w:eastAsia="宋体" w:hAnsi="宋体" w:cs="Times New Roman"/>
          <w:b/>
          <w:kern w:val="2"/>
          <w:sz w:val="21"/>
          <w:szCs w:val="21"/>
        </w:rPr>
      </w:pPr>
      <w:bookmarkStart w:id="5" w:name="_Toc446167843"/>
      <w:r>
        <w:rPr>
          <w:rFonts w:ascii="宋体" w:eastAsia="宋体" w:hAnsi="宋体" w:cs="Times New Roman" w:hint="eastAsia"/>
          <w:b/>
          <w:kern w:val="2"/>
          <w:sz w:val="21"/>
          <w:szCs w:val="21"/>
        </w:rPr>
        <w:t>4.2 期末按行业分类的股票投资组合</w:t>
      </w:r>
      <w:bookmarkEnd w:id="5"/>
      <w:r>
        <w:rPr>
          <w:rFonts w:ascii="宋体" w:eastAsia="宋体" w:hAnsi="宋体" w:cs="Times New Roman" w:hint="eastAsia"/>
          <w:b/>
          <w:kern w:val="2"/>
          <w:sz w:val="21"/>
          <w:szCs w:val="21"/>
        </w:rPr>
        <w:t xml:space="preserve"> </w:t>
      </w:r>
    </w:p>
    <w:p w:rsidR="00B17BCE" w:rsidRDefault="00B17BCE" w:rsidP="00B17BCE">
      <w:pPr>
        <w:pStyle w:val="a4"/>
        <w:spacing w:after="0" w:line="400" w:lineRule="exact"/>
        <w:ind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金额单位：元 </w:t>
      </w:r>
    </w:p>
    <w:tbl>
      <w:tblPr>
        <w:tblStyle w:val="a5"/>
        <w:tblW w:w="4990" w:type="pct"/>
        <w:tblInd w:w="108" w:type="dxa"/>
        <w:tblLook w:val="04A0" w:firstRow="1" w:lastRow="0" w:firstColumn="1" w:lastColumn="0" w:noHBand="0" w:noVBand="1"/>
      </w:tblPr>
      <w:tblGrid>
        <w:gridCol w:w="691"/>
        <w:gridCol w:w="3702"/>
        <w:gridCol w:w="2075"/>
        <w:gridCol w:w="1811"/>
      </w:tblGrid>
      <w:tr w:rsidR="00B17BCE" w:rsidTr="00B47F8F">
        <w:tc>
          <w:tcPr>
            <w:tcW w:w="417"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序号 </w:t>
            </w:r>
          </w:p>
        </w:tc>
        <w:tc>
          <w:tcPr>
            <w:tcW w:w="2236"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行业类别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公允价值 </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jc w:val="center"/>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占基金资产净值比例（%） </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A</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农、林、牧、渔业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2,877,827.00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4.96</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B</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采矿业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C</w:t>
            </w:r>
            <w:r>
              <w:rPr>
                <w:rFonts w:ascii="宋体" w:eastAsia="宋体" w:hAnsi="宋体" w:hint="eastAsia"/>
                <w:sz w:val="21"/>
                <w:szCs w:val="21"/>
              </w:rPr>
              <w:t xml:space="preserve">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制造业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42,675,771.00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73.49</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D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电力、热力、燃气及水生产和供应业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2,357,566.00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4.06</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E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建筑业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1,150,380.00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1.98</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F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批发和零售业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4,106,650.00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7.07</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G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宋体" w:hint="eastAsia"/>
                <w:sz w:val="21"/>
                <w:szCs w:val="21"/>
              </w:rPr>
              <w:t>交通运输、仓储和邮政业</w:t>
            </w:r>
            <w:r>
              <w:rPr>
                <w:rFonts w:ascii="宋体" w:eastAsia="宋体" w:hAnsi="宋体" w:hint="eastAsia"/>
                <w:sz w:val="21"/>
                <w:szCs w:val="21"/>
              </w:rPr>
              <w:t xml:space="preserve">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1,160,940.00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2.00</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H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住宿和餐饮业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I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信息传输、软件和信息技术服务业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J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金融业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K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房地产业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1,277,186.00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2.20</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L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租赁和商务服务业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M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科学研究和技术服务业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570,630.00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0.98</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N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水利、环境和公共设施管理业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1,227,571.00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2.11</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O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居民服务、修理和其他服务业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P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教育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Q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卫生和社会工作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t xml:space="preserve">R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文化、体育和娱乐业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417"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theme="minorBidi"/>
                <w:sz w:val="21"/>
                <w:szCs w:val="21"/>
              </w:rPr>
            </w:pPr>
            <w:r>
              <w:rPr>
                <w:rFonts w:ascii="宋体" w:eastAsia="宋体" w:hAnsi="宋体" w:cstheme="minorBidi" w:hint="eastAsia"/>
                <w:sz w:val="21"/>
                <w:szCs w:val="21"/>
              </w:rPr>
              <w:lastRenderedPageBreak/>
              <w:t xml:space="preserve">S </w:t>
            </w: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综合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598,395.00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1.03</w:t>
            </w:r>
          </w:p>
        </w:tc>
      </w:tr>
      <w:tr w:rsidR="00B17BCE" w:rsidTr="00B47F8F">
        <w:tc>
          <w:tcPr>
            <w:tcW w:w="417" w:type="pct"/>
            <w:tcBorders>
              <w:top w:val="single" w:sz="4" w:space="0" w:color="auto"/>
              <w:left w:val="single" w:sz="4" w:space="0" w:color="auto"/>
              <w:bottom w:val="single" w:sz="4" w:space="0" w:color="auto"/>
              <w:right w:val="single" w:sz="4" w:space="0" w:color="auto"/>
            </w:tcBorders>
          </w:tcPr>
          <w:p w:rsidR="00B17BCE" w:rsidRDefault="00B17BCE" w:rsidP="00B47F8F">
            <w:pPr>
              <w:spacing w:after="0"/>
              <w:jc w:val="center"/>
              <w:rPr>
                <w:rFonts w:ascii="宋体" w:eastAsia="宋体" w:hAnsi="宋体" w:cstheme="minorBidi"/>
                <w:sz w:val="21"/>
                <w:szCs w:val="21"/>
              </w:rPr>
            </w:pPr>
          </w:p>
        </w:tc>
        <w:tc>
          <w:tcPr>
            <w:tcW w:w="2236" w:type="pct"/>
            <w:tcBorders>
              <w:top w:val="single" w:sz="4" w:space="0" w:color="auto"/>
              <w:left w:val="single" w:sz="4" w:space="0" w:color="auto"/>
              <w:bottom w:val="single" w:sz="4" w:space="0" w:color="auto"/>
              <w:right w:val="single" w:sz="4" w:space="0" w:color="auto"/>
            </w:tcBorders>
            <w:hideMark/>
          </w:tcPr>
          <w:p w:rsidR="00B17BCE" w:rsidRDefault="00B17BCE" w:rsidP="00B47F8F">
            <w:pPr>
              <w:spacing w:after="0"/>
              <w:jc w:val="center"/>
              <w:rPr>
                <w:rFonts w:ascii="宋体" w:eastAsia="宋体" w:hAnsi="宋体" w:cs="宋体"/>
                <w:sz w:val="21"/>
                <w:szCs w:val="21"/>
              </w:rPr>
            </w:pPr>
            <w:r>
              <w:rPr>
                <w:rFonts w:ascii="宋体" w:eastAsia="宋体" w:hAnsi="宋体" w:cs="宋体" w:hint="eastAsia"/>
                <w:sz w:val="21"/>
                <w:szCs w:val="21"/>
              </w:rPr>
              <w:t xml:space="preserve">合计 </w:t>
            </w:r>
          </w:p>
        </w:tc>
        <w:tc>
          <w:tcPr>
            <w:tcW w:w="1253"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58,002,916.00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99.88</w:t>
            </w:r>
          </w:p>
        </w:tc>
      </w:tr>
    </w:tbl>
    <w:p w:rsidR="00B17BCE" w:rsidRDefault="00B17BCE" w:rsidP="00B17BCE">
      <w:pPr>
        <w:pStyle w:val="a4"/>
        <w:spacing w:after="0" w:line="400" w:lineRule="exact"/>
        <w:ind w:firstLineChars="0" w:firstLine="0"/>
        <w:rPr>
          <w:rFonts w:ascii="宋体" w:eastAsia="宋体" w:hAnsi="宋体" w:cs="Times New Roman"/>
          <w:b/>
          <w:kern w:val="2"/>
          <w:sz w:val="21"/>
          <w:szCs w:val="21"/>
        </w:rPr>
      </w:pPr>
    </w:p>
    <w:p w:rsidR="00B17BCE" w:rsidRDefault="00B17BCE" w:rsidP="00B17BCE">
      <w:pPr>
        <w:spacing w:after="0" w:line="220" w:lineRule="atLeast"/>
        <w:outlineLvl w:val="0"/>
        <w:rPr>
          <w:rFonts w:ascii="宋体" w:eastAsia="宋体" w:hAnsi="宋体" w:cs="Times New Roman"/>
          <w:b/>
          <w:kern w:val="2"/>
          <w:sz w:val="24"/>
          <w:szCs w:val="24"/>
        </w:rPr>
      </w:pPr>
      <w:bookmarkStart w:id="6" w:name="_Toc446167844"/>
      <w:r>
        <w:rPr>
          <w:rFonts w:ascii="宋体" w:eastAsia="宋体" w:hAnsi="宋体" w:cs="Times New Roman" w:hint="eastAsia"/>
          <w:b/>
          <w:kern w:val="2"/>
          <w:sz w:val="24"/>
          <w:szCs w:val="24"/>
        </w:rPr>
        <w:t>5、基金份额变动情况</w:t>
      </w:r>
      <w:bookmarkEnd w:id="6"/>
      <w:r>
        <w:rPr>
          <w:rFonts w:ascii="宋体" w:eastAsia="宋体" w:hAnsi="宋体" w:cs="Times New Roman" w:hint="eastAsia"/>
          <w:b/>
          <w:kern w:val="2"/>
          <w:sz w:val="24"/>
          <w:szCs w:val="24"/>
        </w:rPr>
        <w:t xml:space="preserve"> </w:t>
      </w:r>
    </w:p>
    <w:p w:rsidR="00B17BCE" w:rsidRDefault="00B17BCE" w:rsidP="00B17BCE">
      <w:pPr>
        <w:pStyle w:val="a4"/>
        <w:spacing w:after="0" w:line="220" w:lineRule="atLeast"/>
        <w:ind w:left="360" w:firstLineChars="0" w:firstLine="0"/>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单位：份 </w:t>
      </w:r>
    </w:p>
    <w:tbl>
      <w:tblPr>
        <w:tblStyle w:val="a5"/>
        <w:tblW w:w="8505" w:type="dxa"/>
        <w:tblInd w:w="108" w:type="dxa"/>
        <w:tblLook w:val="04A0" w:firstRow="1" w:lastRow="0" w:firstColumn="1" w:lastColumn="0" w:noHBand="0" w:noVBand="1"/>
      </w:tblPr>
      <w:tblGrid>
        <w:gridCol w:w="3686"/>
        <w:gridCol w:w="4819"/>
      </w:tblGrid>
      <w:tr w:rsidR="00B17BCE" w:rsidTr="00B47F8F">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报告期期初基金份额总额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29,629,284.87</w:t>
            </w:r>
          </w:p>
        </w:tc>
      </w:tr>
      <w:tr w:rsidR="00B17BCE" w:rsidTr="00B47F8F">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报告期期间基金总申购份额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2,320,756.97</w:t>
            </w:r>
          </w:p>
        </w:tc>
      </w:tr>
      <w:tr w:rsidR="00B17BCE" w:rsidTr="00B47F8F">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减：报告期期间基金总赎回份额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报告期期间基金拆分变动份额（份额减少以“-”填列）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w:t>
            </w:r>
          </w:p>
        </w:tc>
      </w:tr>
      <w:tr w:rsidR="00B17BCE" w:rsidTr="00B47F8F">
        <w:tc>
          <w:tcPr>
            <w:tcW w:w="3686"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spacing w:after="0" w:line="360" w:lineRule="exact"/>
              <w:rPr>
                <w:rFonts w:ascii="宋体" w:eastAsia="宋体" w:hAnsi="宋体" w:cstheme="minorBidi"/>
                <w:color w:val="000000"/>
                <w:sz w:val="21"/>
                <w:szCs w:val="21"/>
              </w:rPr>
            </w:pPr>
            <w:r>
              <w:rPr>
                <w:rFonts w:ascii="宋体" w:eastAsia="宋体" w:hAnsi="宋体" w:cstheme="minorBidi" w:hint="eastAsia"/>
                <w:color w:val="000000"/>
                <w:sz w:val="21"/>
                <w:szCs w:val="21"/>
              </w:rPr>
              <w:t xml:space="preserve">报告期期末基金份额总额 </w:t>
            </w:r>
          </w:p>
        </w:tc>
        <w:tc>
          <w:tcPr>
            <w:tcW w:w="4819" w:type="dxa"/>
            <w:tcBorders>
              <w:top w:val="single" w:sz="4" w:space="0" w:color="auto"/>
              <w:left w:val="single" w:sz="4" w:space="0" w:color="auto"/>
              <w:bottom w:val="single" w:sz="4" w:space="0" w:color="auto"/>
              <w:right w:val="single" w:sz="4" w:space="0" w:color="auto"/>
            </w:tcBorders>
            <w:vAlign w:val="center"/>
            <w:hideMark/>
          </w:tcPr>
          <w:p w:rsidR="00B17BCE" w:rsidRDefault="00B17BCE" w:rsidP="00B47F8F">
            <w:pPr>
              <w:pStyle w:val="a4"/>
              <w:spacing w:after="0" w:line="220" w:lineRule="atLeast"/>
              <w:ind w:firstLineChars="0" w:firstLine="0"/>
              <w:jc w:val="right"/>
              <w:rPr>
                <w:rFonts w:cstheme="minorBidi"/>
              </w:rPr>
            </w:pPr>
            <w:r>
              <w:rPr>
                <w:rFonts w:ascii="宋体" w:eastAsia="宋体" w:hAnsi="宋体" w:cstheme="minorBidi" w:hint="eastAsia"/>
                <w:sz w:val="21"/>
                <w:szCs w:val="21"/>
              </w:rPr>
              <w:t>31,950,041.84</w:t>
            </w:r>
          </w:p>
        </w:tc>
      </w:tr>
    </w:tbl>
    <w:p w:rsidR="00B17BCE" w:rsidRDefault="00B17BCE" w:rsidP="00B17BCE">
      <w:pPr>
        <w:pStyle w:val="a4"/>
        <w:spacing w:after="0" w:line="220" w:lineRule="atLeast"/>
        <w:ind w:left="360" w:firstLineChars="0" w:firstLine="0"/>
        <w:rPr>
          <w:rFonts w:ascii="宋体" w:eastAsia="宋体" w:hAnsi="宋体" w:cs="Times New Roman"/>
          <w:kern w:val="2"/>
          <w:sz w:val="21"/>
          <w:szCs w:val="21"/>
        </w:rPr>
      </w:pPr>
    </w:p>
    <w:p w:rsidR="00B17BCE" w:rsidRDefault="00B17BCE" w:rsidP="00B17BCE">
      <w:pPr>
        <w:spacing w:after="0" w:line="220" w:lineRule="atLeast"/>
        <w:outlineLvl w:val="0"/>
        <w:rPr>
          <w:rFonts w:ascii="宋体" w:eastAsia="宋体" w:hAnsi="宋体" w:cs="Times New Roman"/>
          <w:b/>
          <w:kern w:val="2"/>
          <w:sz w:val="24"/>
          <w:szCs w:val="24"/>
        </w:rPr>
      </w:pPr>
      <w:bookmarkStart w:id="7" w:name="_Toc446167845"/>
      <w:r>
        <w:rPr>
          <w:rFonts w:ascii="宋体" w:eastAsia="宋体" w:hAnsi="宋体" w:cs="Times New Roman" w:hint="eastAsia"/>
          <w:b/>
          <w:kern w:val="2"/>
          <w:sz w:val="24"/>
          <w:szCs w:val="24"/>
        </w:rPr>
        <w:t>6、管理人报告</w:t>
      </w:r>
      <w:bookmarkEnd w:id="7"/>
      <w:r>
        <w:rPr>
          <w:rFonts w:ascii="宋体" w:eastAsia="宋体" w:hAnsi="宋体" w:cs="Times New Roman" w:hint="eastAsia"/>
          <w:b/>
          <w:kern w:val="2"/>
          <w:sz w:val="24"/>
          <w:szCs w:val="24"/>
        </w:rPr>
        <w:t xml:space="preserve"> </w:t>
      </w:r>
    </w:p>
    <w:p w:rsidR="00B17BCE" w:rsidRDefault="00B17BCE" w:rsidP="00B17BCE">
      <w:pPr>
        <w:spacing w:after="0" w:line="300" w:lineRule="exact"/>
        <w:rPr>
          <w:rFonts w:ascii="宋体" w:eastAsia="宋体" w:hAnsi="宋体" w:cs="Times New Roman"/>
          <w:kern w:val="2"/>
          <w:sz w:val="21"/>
          <w:szCs w:val="21"/>
        </w:rPr>
      </w:pPr>
    </w:p>
    <w:tbl>
      <w:tblPr>
        <w:tblStyle w:val="a5"/>
        <w:tblW w:w="8505" w:type="dxa"/>
        <w:tblInd w:w="108" w:type="dxa"/>
        <w:tblLook w:val="04A0" w:firstRow="1" w:lastRow="0" w:firstColumn="1" w:lastColumn="0" w:noHBand="0" w:noVBand="1"/>
      </w:tblPr>
      <w:tblGrid>
        <w:gridCol w:w="9168"/>
      </w:tblGrid>
      <w:tr w:rsidR="00B17BCE" w:rsidTr="00B47F8F">
        <w:tc>
          <w:tcPr>
            <w:tcW w:w="8505" w:type="dxa"/>
            <w:tcBorders>
              <w:top w:val="single" w:sz="4" w:space="0" w:color="auto"/>
              <w:left w:val="single" w:sz="4" w:space="0" w:color="auto"/>
              <w:bottom w:val="single" w:sz="4" w:space="0" w:color="auto"/>
              <w:right w:val="single" w:sz="4" w:space="0" w:color="auto"/>
            </w:tcBorders>
            <w:vAlign w:val="center"/>
            <w:hideMark/>
          </w:tcPr>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6.1 </w:t>
            </w:r>
            <w:r w:rsidRPr="006839E7">
              <w:rPr>
                <w:rFonts w:ascii="Times New Roman" w:eastAsia="宋体" w:hAnsi="Times New Roman" w:cs="宋体" w:hint="eastAsia"/>
                <w:b/>
                <w:bCs/>
                <w:color w:val="000000"/>
                <w:sz w:val="24"/>
                <w:szCs w:val="24"/>
              </w:rPr>
              <w:t>基金管理人及其管理基金的经验</w:t>
            </w:r>
          </w:p>
          <w:p w:rsidR="00931916" w:rsidRPr="00931916" w:rsidRDefault="00931916" w:rsidP="00931916">
            <w:pPr>
              <w:spacing w:after="0" w:line="360" w:lineRule="exact"/>
              <w:ind w:firstLineChars="200" w:firstLine="420"/>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北京信复创值投资管理有限公司（以下简称“公司”）成立于</w:t>
            </w:r>
            <w:r w:rsidRPr="00931916">
              <w:rPr>
                <w:rFonts w:ascii="宋体" w:eastAsia="宋体" w:hAnsi="宋体" w:cstheme="minorBidi"/>
                <w:color w:val="000000"/>
                <w:sz w:val="21"/>
                <w:szCs w:val="21"/>
              </w:rPr>
              <w:t>2013</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7</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23</w:t>
            </w:r>
            <w:r w:rsidRPr="00931916">
              <w:rPr>
                <w:rFonts w:ascii="宋体" w:eastAsia="宋体" w:hAnsi="宋体" w:cstheme="minorBidi" w:hint="eastAsia"/>
                <w:color w:val="000000"/>
                <w:sz w:val="21"/>
                <w:szCs w:val="21"/>
              </w:rPr>
              <w:t>日。注册资本人民币</w:t>
            </w:r>
            <w:r w:rsidRPr="00931916">
              <w:rPr>
                <w:rFonts w:ascii="宋体" w:eastAsia="宋体" w:hAnsi="宋体" w:cstheme="minorBidi"/>
                <w:color w:val="000000"/>
                <w:sz w:val="21"/>
                <w:szCs w:val="21"/>
              </w:rPr>
              <w:t>1000</w:t>
            </w:r>
            <w:r w:rsidRPr="00931916">
              <w:rPr>
                <w:rFonts w:ascii="宋体" w:eastAsia="宋体" w:hAnsi="宋体" w:cstheme="minorBidi" w:hint="eastAsia"/>
                <w:color w:val="000000"/>
                <w:sz w:val="21"/>
                <w:szCs w:val="21"/>
              </w:rPr>
              <w:t>万元，实缴</w:t>
            </w:r>
            <w:r w:rsidRPr="00931916">
              <w:rPr>
                <w:rFonts w:ascii="宋体" w:eastAsia="宋体" w:hAnsi="宋体" w:cstheme="minorBidi"/>
                <w:color w:val="000000"/>
                <w:sz w:val="21"/>
                <w:szCs w:val="21"/>
              </w:rPr>
              <w:t>1000</w:t>
            </w:r>
            <w:r w:rsidRPr="00931916">
              <w:rPr>
                <w:rFonts w:ascii="宋体" w:eastAsia="宋体" w:hAnsi="宋体" w:cstheme="minorBidi" w:hint="eastAsia"/>
                <w:color w:val="000000"/>
                <w:sz w:val="21"/>
                <w:szCs w:val="21"/>
              </w:rPr>
              <w:t>万元。公司秉承“践行诚信，复利增长，创造价值”的投资、经营理念，付出最大努力为投资人，为股东，为社会，为家庭创造价值，积累财富。</w:t>
            </w:r>
          </w:p>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目前，公司管理运营的私募证券投资基金总共</w:t>
            </w:r>
            <w:r w:rsidRPr="00931916">
              <w:rPr>
                <w:rFonts w:ascii="宋体" w:eastAsia="宋体" w:hAnsi="宋体" w:cstheme="minorBidi"/>
                <w:color w:val="000000"/>
                <w:sz w:val="21"/>
                <w:szCs w:val="21"/>
              </w:rPr>
              <w:t>5</w:t>
            </w:r>
            <w:r w:rsidRPr="00931916">
              <w:rPr>
                <w:rFonts w:ascii="宋体" w:eastAsia="宋体" w:hAnsi="宋体" w:cstheme="minorBidi" w:hint="eastAsia"/>
                <w:color w:val="000000"/>
                <w:sz w:val="21"/>
                <w:szCs w:val="21"/>
              </w:rPr>
              <w:t>只，其中</w:t>
            </w:r>
            <w:r w:rsidRPr="00931916">
              <w:rPr>
                <w:rFonts w:ascii="宋体" w:eastAsia="宋体" w:hAnsi="宋体" w:cstheme="minorBidi"/>
                <w:color w:val="000000"/>
                <w:sz w:val="21"/>
                <w:szCs w:val="21"/>
              </w:rPr>
              <w:t>4</w:t>
            </w:r>
            <w:r w:rsidRPr="00931916">
              <w:rPr>
                <w:rFonts w:ascii="宋体" w:eastAsia="宋体" w:hAnsi="宋体" w:cstheme="minorBidi" w:hint="eastAsia"/>
                <w:color w:val="000000"/>
                <w:sz w:val="21"/>
                <w:szCs w:val="21"/>
              </w:rPr>
              <w:t>只为自主发行产品。</w:t>
            </w:r>
          </w:p>
          <w:p w:rsidR="00931916" w:rsidRPr="00931916" w:rsidRDefault="00931916" w:rsidP="00931916">
            <w:pPr>
              <w:spacing w:after="0" w:line="360" w:lineRule="exact"/>
              <w:rPr>
                <w:rFonts w:ascii="宋体" w:eastAsia="宋体" w:hAnsi="宋体" w:cstheme="minorBidi"/>
                <w:color w:val="000000"/>
                <w:sz w:val="21"/>
                <w:szCs w:val="21"/>
              </w:rPr>
            </w:pPr>
          </w:p>
          <w:tbl>
            <w:tblPr>
              <w:tblStyle w:val="a5"/>
              <w:tblW w:w="8942" w:type="dxa"/>
              <w:jc w:val="center"/>
              <w:tblInd w:w="0" w:type="dxa"/>
              <w:tblLook w:val="04A0" w:firstRow="1" w:lastRow="0" w:firstColumn="1" w:lastColumn="0" w:noHBand="0" w:noVBand="1"/>
            </w:tblPr>
            <w:tblGrid>
              <w:gridCol w:w="3756"/>
              <w:gridCol w:w="2390"/>
              <w:gridCol w:w="2796"/>
            </w:tblGrid>
            <w:tr w:rsidR="00931916" w:rsidRPr="00931916" w:rsidTr="00BE4B55">
              <w:trPr>
                <w:jc w:val="center"/>
              </w:trPr>
              <w:tc>
                <w:tcPr>
                  <w:tcW w:w="3756" w:type="dxa"/>
                  <w:shd w:val="clear" w:color="auto" w:fill="B8CCE4"/>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产品名称</w:t>
                  </w:r>
                </w:p>
              </w:tc>
              <w:tc>
                <w:tcPr>
                  <w:tcW w:w="2390" w:type="dxa"/>
                  <w:shd w:val="clear" w:color="auto" w:fill="B8CCE4"/>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发行时间</w:t>
                  </w:r>
                </w:p>
              </w:tc>
              <w:tc>
                <w:tcPr>
                  <w:tcW w:w="2796" w:type="dxa"/>
                  <w:shd w:val="clear" w:color="auto" w:fill="B8CCE4"/>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合作方</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1</w:t>
                  </w:r>
                  <w:r w:rsidRPr="00931916">
                    <w:rPr>
                      <w:rFonts w:ascii="宋体" w:eastAsia="宋体" w:hAnsi="宋体" w:cstheme="minorBidi" w:hint="eastAsia"/>
                      <w:color w:val="000000"/>
                      <w:sz w:val="21"/>
                      <w:szCs w:val="21"/>
                    </w:rPr>
                    <w:t>号资产管理计划</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2013</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9</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27</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云南国际信托</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信复创值量化成长资产管理计划</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4</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30</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云南国际信托</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2</w:t>
                  </w:r>
                  <w:r w:rsidRPr="00931916">
                    <w:rPr>
                      <w:rFonts w:ascii="宋体" w:eastAsia="宋体" w:hAnsi="宋体" w:cstheme="minorBidi" w:hint="eastAsia"/>
                      <w:color w:val="000000"/>
                      <w:sz w:val="21"/>
                      <w:szCs w:val="21"/>
                    </w:rPr>
                    <w:t>号</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8</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25</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招商证券</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3</w:t>
                  </w:r>
                  <w:r w:rsidRPr="00931916">
                    <w:rPr>
                      <w:rFonts w:ascii="宋体" w:eastAsia="宋体" w:hAnsi="宋体" w:cstheme="minorBidi" w:hint="eastAsia"/>
                      <w:color w:val="000000"/>
                      <w:sz w:val="21"/>
                      <w:szCs w:val="21"/>
                    </w:rPr>
                    <w:t>号</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2014</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10</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24</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招商证券</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5</w:t>
                  </w:r>
                  <w:r w:rsidRPr="00931916">
                    <w:rPr>
                      <w:rFonts w:ascii="宋体" w:eastAsia="宋体" w:hAnsi="宋体" w:cstheme="minorBidi" w:hint="eastAsia"/>
                      <w:color w:val="000000"/>
                      <w:sz w:val="21"/>
                      <w:szCs w:val="21"/>
                    </w:rPr>
                    <w:t>号</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2015</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10</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27</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银河证券</w:t>
                  </w:r>
                </w:p>
              </w:tc>
            </w:tr>
            <w:tr w:rsidR="00931916" w:rsidRPr="00931916" w:rsidTr="00BE4B55">
              <w:trPr>
                <w:jc w:val="center"/>
              </w:trPr>
              <w:tc>
                <w:tcPr>
                  <w:tcW w:w="375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信复创值</w:t>
                  </w:r>
                  <w:r w:rsidRPr="00931916">
                    <w:rPr>
                      <w:rFonts w:ascii="宋体" w:eastAsia="宋体" w:hAnsi="宋体" w:cstheme="minorBidi"/>
                      <w:color w:val="000000"/>
                      <w:sz w:val="21"/>
                      <w:szCs w:val="21"/>
                    </w:rPr>
                    <w:t>6</w:t>
                  </w:r>
                  <w:r w:rsidRPr="00931916">
                    <w:rPr>
                      <w:rFonts w:ascii="宋体" w:eastAsia="宋体" w:hAnsi="宋体" w:cstheme="minorBidi" w:hint="eastAsia"/>
                      <w:color w:val="000000"/>
                      <w:sz w:val="21"/>
                      <w:szCs w:val="21"/>
                    </w:rPr>
                    <w:t>号</w:t>
                  </w:r>
                </w:p>
              </w:tc>
              <w:tc>
                <w:tcPr>
                  <w:tcW w:w="2390"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color w:val="000000"/>
                      <w:sz w:val="21"/>
                      <w:szCs w:val="21"/>
                    </w:rPr>
                    <w:t>2016</w:t>
                  </w:r>
                  <w:r w:rsidRPr="00931916">
                    <w:rPr>
                      <w:rFonts w:ascii="宋体" w:eastAsia="宋体" w:hAnsi="宋体" w:cstheme="minorBidi" w:hint="eastAsia"/>
                      <w:color w:val="000000"/>
                      <w:sz w:val="21"/>
                      <w:szCs w:val="21"/>
                    </w:rPr>
                    <w:t>年</w:t>
                  </w:r>
                  <w:r w:rsidRPr="00931916">
                    <w:rPr>
                      <w:rFonts w:ascii="宋体" w:eastAsia="宋体" w:hAnsi="宋体" w:cstheme="minorBidi"/>
                      <w:color w:val="000000"/>
                      <w:sz w:val="21"/>
                      <w:szCs w:val="21"/>
                    </w:rPr>
                    <w:t>1</w:t>
                  </w:r>
                  <w:r w:rsidRPr="00931916">
                    <w:rPr>
                      <w:rFonts w:ascii="宋体" w:eastAsia="宋体" w:hAnsi="宋体" w:cstheme="minorBidi" w:hint="eastAsia"/>
                      <w:color w:val="000000"/>
                      <w:sz w:val="21"/>
                      <w:szCs w:val="21"/>
                    </w:rPr>
                    <w:t>月</w:t>
                  </w:r>
                  <w:r w:rsidRPr="00931916">
                    <w:rPr>
                      <w:rFonts w:ascii="宋体" w:eastAsia="宋体" w:hAnsi="宋体" w:cstheme="minorBidi"/>
                      <w:color w:val="000000"/>
                      <w:sz w:val="21"/>
                      <w:szCs w:val="21"/>
                    </w:rPr>
                    <w:t>18</w:t>
                  </w:r>
                  <w:r w:rsidRPr="00931916">
                    <w:rPr>
                      <w:rFonts w:ascii="宋体" w:eastAsia="宋体" w:hAnsi="宋体" w:cstheme="minorBidi" w:hint="eastAsia"/>
                      <w:color w:val="000000"/>
                      <w:sz w:val="21"/>
                      <w:szCs w:val="21"/>
                    </w:rPr>
                    <w:t>日</w:t>
                  </w:r>
                </w:p>
              </w:tc>
              <w:tc>
                <w:tcPr>
                  <w:tcW w:w="2796" w:type="dxa"/>
                </w:tcPr>
                <w:p w:rsidR="00931916" w:rsidRPr="00931916" w:rsidRDefault="00931916" w:rsidP="00931916">
                  <w:pPr>
                    <w:spacing w:after="0" w:line="360" w:lineRule="exact"/>
                    <w:rPr>
                      <w:rFonts w:ascii="宋体" w:eastAsia="宋体" w:hAnsi="宋体" w:cstheme="minorBidi"/>
                      <w:color w:val="000000"/>
                      <w:sz w:val="21"/>
                      <w:szCs w:val="21"/>
                    </w:rPr>
                  </w:pPr>
                  <w:r w:rsidRPr="00931916">
                    <w:rPr>
                      <w:rFonts w:ascii="宋体" w:eastAsia="宋体" w:hAnsi="宋体" w:cstheme="minorBidi" w:hint="eastAsia"/>
                      <w:color w:val="000000"/>
                      <w:sz w:val="21"/>
                      <w:szCs w:val="21"/>
                    </w:rPr>
                    <w:t>广发证券</w:t>
                  </w:r>
                </w:p>
              </w:tc>
            </w:tr>
          </w:tbl>
          <w:p w:rsidR="00931916" w:rsidRDefault="00931916" w:rsidP="00931916">
            <w:pPr>
              <w:autoSpaceDE w:val="0"/>
              <w:autoSpaceDN w:val="0"/>
              <w:spacing w:line="288" w:lineRule="auto"/>
              <w:ind w:firstLine="450"/>
              <w:rPr>
                <w:rFonts w:ascii="宋体" w:eastAsia="宋体"/>
                <w:szCs w:val="20"/>
              </w:rPr>
            </w:pPr>
          </w:p>
          <w:p w:rsidR="00931916" w:rsidRPr="00AA2304" w:rsidRDefault="00931916" w:rsidP="00931916">
            <w:pPr>
              <w:autoSpaceDE w:val="0"/>
              <w:autoSpaceDN w:val="0"/>
              <w:spacing w:line="288" w:lineRule="auto"/>
              <w:ind w:firstLine="450"/>
              <w:rPr>
                <w:rFonts w:ascii="宋体" w:eastAsia="宋体"/>
                <w:szCs w:val="20"/>
              </w:rPr>
            </w:pPr>
            <w:r w:rsidRPr="00AA2304">
              <w:rPr>
                <w:rFonts w:ascii="宋体" w:hAnsi="宋体" w:hint="eastAsia"/>
                <w:szCs w:val="20"/>
              </w:rPr>
              <w:t>两年多以来，公司与国内多家银行、券商、期货公司、信托公司进行了合作，包括招商银行、工商银行、建设银行、招商证券、中信证券、银河证券、广发证券、招商期货、中信期货、银河期货、广发期货、云南信托等。</w:t>
            </w:r>
          </w:p>
          <w:p w:rsidR="00931916" w:rsidRPr="0030720C" w:rsidRDefault="00931916" w:rsidP="00931916">
            <w:pPr>
              <w:autoSpaceDE w:val="0"/>
              <w:autoSpaceDN w:val="0"/>
              <w:spacing w:line="288" w:lineRule="auto"/>
              <w:rPr>
                <w:rFonts w:ascii="Times New Roman" w:eastAsia="宋体" w:hAnsi="Times New Roman" w:cs="宋体"/>
                <w:color w:val="000000"/>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6.2 </w:t>
            </w:r>
            <w:r w:rsidRPr="006839E7">
              <w:rPr>
                <w:rFonts w:ascii="Times New Roman" w:eastAsia="宋体" w:hAnsi="Times New Roman" w:cs="宋体" w:hint="eastAsia"/>
                <w:b/>
                <w:bCs/>
                <w:color w:val="000000"/>
                <w:sz w:val="24"/>
                <w:szCs w:val="24"/>
              </w:rPr>
              <w:t>管理人对报告期内本基金运作遵规守信情况的说明</w:t>
            </w:r>
          </w:p>
          <w:p w:rsidR="00931916" w:rsidRDefault="00931916" w:rsidP="00931916">
            <w:pPr>
              <w:autoSpaceDE w:val="0"/>
              <w:autoSpaceDN w:val="0"/>
              <w:spacing w:line="288" w:lineRule="auto"/>
              <w:ind w:firstLine="450"/>
              <w:rPr>
                <w:rFonts w:ascii="宋体" w:hAnsi="宋体"/>
                <w:szCs w:val="20"/>
              </w:rPr>
            </w:pPr>
            <w:r w:rsidRPr="006839E7">
              <w:rPr>
                <w:rFonts w:ascii="Times New Roman" w:eastAsia="宋体" w:hAnsi="Times New Roman" w:cs="宋体"/>
                <w:color w:val="000000"/>
              </w:rPr>
              <w:t xml:space="preserve">    </w:t>
            </w:r>
            <w:r w:rsidRPr="00DF5541">
              <w:rPr>
                <w:rFonts w:ascii="宋体" w:hAnsi="宋体" w:hint="eastAsia"/>
                <w:szCs w:val="20"/>
              </w:rPr>
              <w:t>报告期内，本基金管理人严格遵循了《证券法》、《证券投资基金法》及其各项配套法规和其他相关法律法规的规定，本着诚实信用、勤勉尽责的原则管理和运用基金资产，</w:t>
            </w:r>
            <w:r w:rsidRPr="00DF5541">
              <w:rPr>
                <w:rFonts w:ascii="宋体" w:hAnsi="宋体" w:hint="eastAsia"/>
                <w:szCs w:val="20"/>
              </w:rPr>
              <w:lastRenderedPageBreak/>
              <w:t>在严格控制风险的基础上，为基金份额持有人谋求最大利益。本基金运作管理符合有关法律法规和基金合同的规定和约定，无损害基金份额持有人利益的行为。</w:t>
            </w:r>
          </w:p>
          <w:p w:rsidR="00931916" w:rsidRPr="00931916" w:rsidRDefault="00931916" w:rsidP="00931916">
            <w:pPr>
              <w:autoSpaceDE w:val="0"/>
              <w:autoSpaceDN w:val="0"/>
              <w:spacing w:line="288" w:lineRule="auto"/>
              <w:ind w:firstLine="450"/>
              <w:rPr>
                <w:rFonts w:ascii="宋体" w:hAnsi="宋体"/>
                <w:szCs w:val="20"/>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 </w:t>
            </w:r>
            <w:r w:rsidRPr="006839E7">
              <w:rPr>
                <w:rFonts w:ascii="Times New Roman" w:eastAsia="宋体" w:hAnsi="Times New Roman" w:cs="宋体" w:hint="eastAsia"/>
                <w:b/>
                <w:bCs/>
                <w:color w:val="000000"/>
                <w:sz w:val="24"/>
                <w:szCs w:val="24"/>
              </w:rPr>
              <w:t>管理人对报告期内基金的投资策略和业绩表现的说明</w:t>
            </w:r>
          </w:p>
          <w:p w:rsidR="00931916" w:rsidRPr="00931916"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6.3.1 </w:t>
            </w:r>
            <w:r w:rsidRPr="006839E7">
              <w:rPr>
                <w:rFonts w:ascii="Times New Roman" w:eastAsia="宋体" w:hAnsi="Times New Roman" w:cs="宋体" w:hint="eastAsia"/>
                <w:b/>
                <w:bCs/>
                <w:color w:val="000000"/>
                <w:sz w:val="24"/>
                <w:szCs w:val="24"/>
              </w:rPr>
              <w:t>报告期内基金投资策略和运作分析</w:t>
            </w:r>
          </w:p>
          <w:p w:rsidR="00931916" w:rsidRPr="00931916" w:rsidRDefault="00931916" w:rsidP="00931916">
            <w:pPr>
              <w:autoSpaceDE w:val="0"/>
              <w:autoSpaceDN w:val="0"/>
              <w:spacing w:line="288" w:lineRule="auto"/>
              <w:ind w:firstLine="450"/>
              <w:rPr>
                <w:rFonts w:ascii="宋体" w:hAnsi="宋体"/>
                <w:b/>
                <w:szCs w:val="20"/>
              </w:rPr>
            </w:pPr>
            <w:r w:rsidRPr="00931916">
              <w:rPr>
                <w:rFonts w:ascii="宋体" w:hAnsi="宋体" w:hint="eastAsia"/>
                <w:b/>
                <w:szCs w:val="20"/>
              </w:rPr>
              <w:t>投资策略：</w:t>
            </w:r>
          </w:p>
          <w:p w:rsidR="00931916" w:rsidRPr="00931916" w:rsidRDefault="00931916" w:rsidP="00931916">
            <w:pPr>
              <w:autoSpaceDE w:val="0"/>
              <w:autoSpaceDN w:val="0"/>
              <w:spacing w:line="288" w:lineRule="auto"/>
              <w:ind w:firstLine="450"/>
              <w:rPr>
                <w:rFonts w:ascii="宋体" w:hAnsi="宋体"/>
                <w:szCs w:val="20"/>
              </w:rPr>
            </w:pPr>
            <w:r w:rsidRPr="00EC63C8">
              <w:rPr>
                <w:rFonts w:ascii="宋体" w:hAnsi="宋体" w:hint="eastAsia"/>
                <w:szCs w:val="20"/>
              </w:rPr>
              <w:t>“控制风险，长期复利，获取风险调整后的收益</w:t>
            </w:r>
            <w:r w:rsidRPr="00931916">
              <w:rPr>
                <w:rFonts w:ascii="宋体" w:hAnsi="宋体" w:hint="eastAsia"/>
                <w:szCs w:val="20"/>
              </w:rPr>
              <w:t>”</w:t>
            </w:r>
            <w:r w:rsidRPr="00EC63C8">
              <w:rPr>
                <w:rFonts w:ascii="宋体" w:hAnsi="宋体" w:hint="eastAsia"/>
                <w:szCs w:val="20"/>
              </w:rPr>
              <w:t>是公司的投资理念。公司用“量化选股，量化择时</w:t>
            </w:r>
            <w:r w:rsidRPr="00931916">
              <w:rPr>
                <w:rFonts w:ascii="宋体" w:hAnsi="宋体" w:hint="eastAsia"/>
                <w:szCs w:val="20"/>
              </w:rPr>
              <w:t>”</w:t>
            </w:r>
            <w:r w:rsidRPr="00EC63C8">
              <w:rPr>
                <w:rFonts w:ascii="宋体" w:hAnsi="宋体" w:hint="eastAsia"/>
                <w:szCs w:val="20"/>
              </w:rPr>
              <w:t>的投资策略来诠释上述的投资理念。</w:t>
            </w:r>
          </w:p>
          <w:p w:rsidR="00931916" w:rsidRPr="00931916" w:rsidRDefault="00931916" w:rsidP="00931916">
            <w:pPr>
              <w:autoSpaceDE w:val="0"/>
              <w:autoSpaceDN w:val="0"/>
              <w:spacing w:line="288" w:lineRule="auto"/>
              <w:ind w:firstLine="450"/>
              <w:rPr>
                <w:rFonts w:ascii="宋体" w:hAnsi="宋体"/>
                <w:szCs w:val="20"/>
              </w:rPr>
            </w:pPr>
            <w:r w:rsidRPr="00EC63C8">
              <w:rPr>
                <w:rFonts w:ascii="宋体" w:hAnsi="宋体" w:hint="eastAsia"/>
                <w:szCs w:val="20"/>
              </w:rPr>
              <w:t>公司团队在中国证券市场有长达</w:t>
            </w:r>
            <w:r w:rsidRPr="00EC63C8">
              <w:rPr>
                <w:rFonts w:ascii="宋体" w:hAnsi="宋体"/>
                <w:szCs w:val="20"/>
              </w:rPr>
              <w:t>20</w:t>
            </w:r>
            <w:r w:rsidRPr="00EC63C8">
              <w:rPr>
                <w:rFonts w:ascii="宋体" w:hAnsi="宋体" w:hint="eastAsia"/>
                <w:szCs w:val="20"/>
              </w:rPr>
              <w:t>年的投资经验，经受过数次完整的</w:t>
            </w:r>
            <w:r w:rsidRPr="00EC63C8">
              <w:rPr>
                <w:rFonts w:ascii="宋体" w:hAnsi="宋体"/>
                <w:szCs w:val="20"/>
              </w:rPr>
              <w:t>A</w:t>
            </w:r>
            <w:r w:rsidRPr="00EC63C8">
              <w:rPr>
                <w:rFonts w:ascii="宋体" w:hAnsi="宋体" w:hint="eastAsia"/>
                <w:szCs w:val="20"/>
              </w:rPr>
              <w:t>股市场牛熊转换的考验，在对</w:t>
            </w:r>
            <w:r w:rsidRPr="00EC63C8">
              <w:rPr>
                <w:rFonts w:ascii="宋体" w:hAnsi="宋体"/>
                <w:szCs w:val="20"/>
              </w:rPr>
              <w:t>A</w:t>
            </w:r>
            <w:r w:rsidRPr="00EC63C8">
              <w:rPr>
                <w:rFonts w:ascii="宋体" w:hAnsi="宋体" w:hint="eastAsia"/>
                <w:szCs w:val="20"/>
              </w:rPr>
              <w:t>股市场的运行规律与风险有充分的理解和认识的基础上，将长期的主动投资实战方法与量化投资方法相结合，形成了公司多策略的投资体系。</w:t>
            </w:r>
          </w:p>
          <w:p w:rsidR="00931916" w:rsidRPr="00931916" w:rsidRDefault="00931916" w:rsidP="00931916">
            <w:pPr>
              <w:autoSpaceDE w:val="0"/>
              <w:autoSpaceDN w:val="0"/>
              <w:spacing w:line="288" w:lineRule="auto"/>
              <w:ind w:firstLine="450"/>
              <w:rPr>
                <w:rFonts w:ascii="宋体" w:hAnsi="宋体"/>
                <w:szCs w:val="20"/>
              </w:rPr>
            </w:pPr>
            <w:r w:rsidRPr="00EC63C8">
              <w:rPr>
                <w:rFonts w:ascii="宋体" w:hAnsi="宋体" w:hint="eastAsia"/>
                <w:szCs w:val="20"/>
              </w:rPr>
              <w:t>公司采用立足于大数据研究之上的量化模型投资方法，以公开的市场数据为基础，采用不同的量化工具识别跟踪市场最具上涨潜力的股票组合，并量化择时投资，以追求风险调整后的最优回报。这一方法经过了长时间的理论研究和实践检验，近几年在不同体量资金的实际投资操作中取得了良好的投资回报。</w:t>
            </w:r>
          </w:p>
          <w:p w:rsidR="00931916" w:rsidRPr="00931916" w:rsidRDefault="00931916" w:rsidP="00931916">
            <w:pPr>
              <w:autoSpaceDE w:val="0"/>
              <w:autoSpaceDN w:val="0"/>
              <w:spacing w:line="288" w:lineRule="auto"/>
              <w:ind w:firstLine="450"/>
              <w:rPr>
                <w:rFonts w:ascii="宋体" w:hAnsi="宋体"/>
                <w:szCs w:val="20"/>
              </w:rPr>
            </w:pPr>
          </w:p>
          <w:p w:rsidR="00931916" w:rsidRPr="00931916" w:rsidRDefault="00931916" w:rsidP="00931916">
            <w:pPr>
              <w:autoSpaceDE w:val="0"/>
              <w:autoSpaceDN w:val="0"/>
              <w:spacing w:line="288" w:lineRule="auto"/>
              <w:ind w:firstLine="450"/>
              <w:rPr>
                <w:rFonts w:ascii="宋体" w:hAnsi="宋体"/>
                <w:b/>
                <w:szCs w:val="20"/>
              </w:rPr>
            </w:pPr>
            <w:r w:rsidRPr="00931916">
              <w:rPr>
                <w:rFonts w:ascii="宋体" w:hAnsi="宋体" w:hint="eastAsia"/>
                <w:b/>
                <w:szCs w:val="20"/>
              </w:rPr>
              <w:t>运作分析：</w:t>
            </w:r>
          </w:p>
          <w:p w:rsidR="00931916" w:rsidRPr="00931916" w:rsidRDefault="00931916" w:rsidP="00931916">
            <w:pPr>
              <w:autoSpaceDE w:val="0"/>
              <w:autoSpaceDN w:val="0"/>
              <w:spacing w:line="288" w:lineRule="auto"/>
              <w:ind w:firstLine="450"/>
              <w:rPr>
                <w:rFonts w:ascii="宋体" w:hAnsi="宋体"/>
                <w:szCs w:val="20"/>
              </w:rPr>
            </w:pPr>
            <w:r w:rsidRPr="0030720C">
              <w:rPr>
                <w:rFonts w:ascii="宋体" w:hAnsi="宋体" w:hint="eastAsia"/>
                <w:szCs w:val="20"/>
              </w:rPr>
              <w:t>投资决策小组确定投资方向，向投研团队布置任务。投研团队挖掘可行性投资标的，进行基础研究，向投资决策小组提供研究分析报告，作为投资决策小组的决策依据。投资决策小组确定投资方向，制定投资策略。投资总监构建投资组合，制定执行方案及相关预案，风险控制小组进行风险评估。</w:t>
            </w:r>
          </w:p>
          <w:p w:rsidR="00931916" w:rsidRPr="00931916" w:rsidRDefault="00931916" w:rsidP="00931916">
            <w:pPr>
              <w:autoSpaceDE w:val="0"/>
              <w:autoSpaceDN w:val="0"/>
              <w:spacing w:line="288" w:lineRule="auto"/>
              <w:ind w:firstLine="450"/>
              <w:rPr>
                <w:rFonts w:ascii="宋体" w:hAnsi="宋体"/>
                <w:szCs w:val="20"/>
              </w:rPr>
            </w:pPr>
            <w:r w:rsidRPr="0030720C">
              <w:rPr>
                <w:rFonts w:ascii="宋体" w:hAnsi="宋体" w:hint="eastAsia"/>
                <w:szCs w:val="20"/>
              </w:rPr>
              <w:t>投资总监负责的投资管理部执行投资方案，下设研究部门和交易部门。投资总监可根据实际情况对投资方案适时进行合理调整并向投资决策小组反馈执行情况。交易部门根据投资总监指令制定执行方案，完成日常交易。</w:t>
            </w:r>
          </w:p>
          <w:p w:rsidR="00931916" w:rsidRPr="00931916" w:rsidRDefault="00931916" w:rsidP="00931916">
            <w:pPr>
              <w:autoSpaceDE w:val="0"/>
              <w:autoSpaceDN w:val="0"/>
              <w:spacing w:line="288" w:lineRule="auto"/>
              <w:ind w:firstLine="450"/>
              <w:rPr>
                <w:rFonts w:ascii="宋体" w:hAnsi="宋体"/>
                <w:szCs w:val="20"/>
              </w:rPr>
            </w:pPr>
            <w:r w:rsidRPr="0030720C">
              <w:rPr>
                <w:rFonts w:ascii="宋体" w:hAnsi="宋体" w:hint="eastAsia"/>
                <w:szCs w:val="20"/>
              </w:rPr>
              <w:lastRenderedPageBreak/>
              <w:t>从开始投资研究到投资方案执行的全过程中，风险管理部负责监控执行，并进行定期核查，避免投资方案实际执行环节中出现道德风险、操作风险及由于信息不对称而发生的其他风险，确保投资方案和相关预案正常执行。</w:t>
            </w:r>
          </w:p>
          <w:p w:rsidR="00931916" w:rsidRPr="0030720C" w:rsidRDefault="00931916" w:rsidP="00931916">
            <w:pPr>
              <w:autoSpaceDE w:val="0"/>
              <w:autoSpaceDN w:val="0"/>
              <w:spacing w:line="288" w:lineRule="auto"/>
              <w:rPr>
                <w:rFonts w:ascii="Times New Roman" w:eastAsia="宋体" w:hAnsi="Times New Roman" w:cs="宋体"/>
                <w:color w:val="000000"/>
              </w:rPr>
            </w:pPr>
          </w:p>
          <w:p w:rsidR="00931916" w:rsidRPr="006839E7" w:rsidRDefault="00931916" w:rsidP="00931916">
            <w:pPr>
              <w:autoSpaceDE w:val="0"/>
              <w:autoSpaceDN w:val="0"/>
              <w:spacing w:line="288" w:lineRule="auto"/>
              <w:rPr>
                <w:rFonts w:ascii="Times New Roman" w:eastAsia="宋体" w:hAnsi="Times New Roman" w:cs="MS Sans Serif"/>
                <w:color w:val="000000"/>
                <w:sz w:val="18"/>
                <w:szCs w:val="18"/>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6.3.2 </w:t>
            </w:r>
            <w:r w:rsidRPr="006839E7">
              <w:rPr>
                <w:rFonts w:ascii="Times New Roman" w:eastAsia="宋体" w:hAnsi="Times New Roman" w:cs="宋体" w:hint="eastAsia"/>
                <w:b/>
                <w:bCs/>
                <w:color w:val="000000"/>
                <w:sz w:val="24"/>
                <w:szCs w:val="24"/>
              </w:rPr>
              <w:t>报告期内基金的业绩表现</w:t>
            </w:r>
          </w:p>
          <w:p w:rsidR="00931916" w:rsidRPr="006839E7" w:rsidRDefault="00931916" w:rsidP="00931916">
            <w:pPr>
              <w:autoSpaceDE w:val="0"/>
              <w:autoSpaceDN w:val="0"/>
              <w:spacing w:line="288" w:lineRule="auto"/>
              <w:rPr>
                <w:rFonts w:ascii="Times New Roman" w:eastAsia="宋体" w:hAnsi="Times New Roman" w:cs="宋体"/>
                <w:color w:val="000000"/>
              </w:rPr>
            </w:pPr>
            <w:r w:rsidRPr="006839E7">
              <w:rPr>
                <w:rFonts w:ascii="Times New Roman" w:eastAsia="宋体" w:hAnsi="Times New Roman" w:cs="宋体"/>
                <w:color w:val="000000"/>
              </w:rPr>
              <w:t xml:space="preserve">    </w:t>
            </w:r>
            <w:r>
              <w:rPr>
                <w:rFonts w:ascii="Times New Roman" w:eastAsia="宋体" w:hAnsi="Times New Roman" w:cs="宋体" w:hint="eastAsia"/>
                <w:color w:val="000000"/>
              </w:rPr>
              <w:t>信复创值</w:t>
            </w:r>
            <w:r w:rsidR="00DB2261">
              <w:rPr>
                <w:rFonts w:ascii="Times New Roman" w:eastAsia="宋体" w:hAnsi="Times New Roman" w:cs="宋体"/>
                <w:color w:val="000000"/>
              </w:rPr>
              <w:t>2</w:t>
            </w:r>
            <w:r>
              <w:rPr>
                <w:rFonts w:ascii="Times New Roman" w:eastAsia="宋体" w:hAnsi="Times New Roman" w:cs="宋体" w:hint="eastAsia"/>
                <w:color w:val="000000"/>
              </w:rPr>
              <w:t>号基金报告期内最新净值为</w:t>
            </w:r>
            <w:r>
              <w:rPr>
                <w:rFonts w:ascii="Times New Roman" w:eastAsia="宋体" w:hAnsi="Times New Roman" w:cs="宋体"/>
                <w:color w:val="000000"/>
              </w:rPr>
              <w:t>1.</w:t>
            </w:r>
            <w:r w:rsidR="00EF1074">
              <w:rPr>
                <w:rFonts w:ascii="Times New Roman" w:eastAsia="宋体" w:hAnsi="Times New Roman" w:cs="宋体"/>
                <w:color w:val="000000"/>
              </w:rPr>
              <w:t>8176</w:t>
            </w:r>
            <w:r>
              <w:rPr>
                <w:rFonts w:ascii="Times New Roman" w:eastAsia="宋体" w:hAnsi="Times New Roman" w:cs="宋体" w:hint="eastAsia"/>
                <w:color w:val="000000"/>
              </w:rPr>
              <w:t>，报告期内最大净值为</w:t>
            </w:r>
            <w:r>
              <w:rPr>
                <w:rFonts w:ascii="Times New Roman" w:eastAsia="宋体" w:hAnsi="Times New Roman" w:cs="宋体"/>
                <w:color w:val="000000"/>
              </w:rPr>
              <w:t>1.</w:t>
            </w:r>
            <w:r w:rsidR="00102D36">
              <w:rPr>
                <w:rFonts w:ascii="Times New Roman" w:eastAsia="宋体" w:hAnsi="Times New Roman" w:cs="宋体"/>
                <w:color w:val="000000"/>
              </w:rPr>
              <w:t>8232</w:t>
            </w:r>
            <w:r w:rsidR="004F3624">
              <w:rPr>
                <w:rFonts w:ascii="Times New Roman" w:eastAsia="宋体" w:hAnsi="Times New Roman" w:cs="宋体" w:hint="eastAsia"/>
                <w:color w:val="000000"/>
              </w:rPr>
              <w:t>，在</w:t>
            </w:r>
            <w:r>
              <w:rPr>
                <w:rFonts w:ascii="Times New Roman" w:eastAsia="宋体" w:hAnsi="Times New Roman" w:cs="宋体" w:hint="eastAsia"/>
                <w:color w:val="000000"/>
              </w:rPr>
              <w:t>同类基金中排名前</w:t>
            </w:r>
            <w:r w:rsidR="004A61CE">
              <w:rPr>
                <w:rFonts w:ascii="Times New Roman" w:eastAsia="宋体" w:hAnsi="Times New Roman" w:cs="宋体"/>
                <w:color w:val="000000"/>
              </w:rPr>
              <w:t>7</w:t>
            </w:r>
            <w:r>
              <w:rPr>
                <w:rFonts w:ascii="Times New Roman" w:eastAsia="宋体" w:hAnsi="Times New Roman" w:cs="宋体"/>
                <w:color w:val="000000"/>
              </w:rPr>
              <w:t>%</w:t>
            </w:r>
            <w:r>
              <w:rPr>
                <w:rFonts w:ascii="Times New Roman" w:eastAsia="宋体" w:hAnsi="Times New Roman" w:cs="宋体" w:hint="eastAsia"/>
                <w:color w:val="000000"/>
              </w:rPr>
              <w:t>。</w:t>
            </w:r>
          </w:p>
          <w:p w:rsidR="00931916" w:rsidRPr="006839E7" w:rsidRDefault="00931916" w:rsidP="00931916">
            <w:pPr>
              <w:autoSpaceDE w:val="0"/>
              <w:autoSpaceDN w:val="0"/>
              <w:spacing w:line="288" w:lineRule="auto"/>
              <w:rPr>
                <w:rFonts w:ascii="Times New Roman" w:eastAsia="宋体" w:hAnsi="Times New Roman" w:cs="MS Sans Serif"/>
                <w:color w:val="000000"/>
                <w:sz w:val="18"/>
                <w:szCs w:val="18"/>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6.4 </w:t>
            </w:r>
            <w:r w:rsidRPr="006839E7">
              <w:rPr>
                <w:rFonts w:ascii="Times New Roman" w:eastAsia="宋体" w:hAnsi="Times New Roman" w:cs="宋体" w:hint="eastAsia"/>
                <w:b/>
                <w:bCs/>
                <w:color w:val="000000"/>
                <w:sz w:val="24"/>
                <w:szCs w:val="24"/>
              </w:rPr>
              <w:t>管理人对宏观经济、证券市场及行业走势的简要展望</w:t>
            </w:r>
          </w:p>
          <w:p w:rsidR="00931916" w:rsidRDefault="00931916" w:rsidP="00931916">
            <w:pPr>
              <w:autoSpaceDE w:val="0"/>
              <w:autoSpaceDN w:val="0"/>
              <w:spacing w:line="288" w:lineRule="auto"/>
              <w:ind w:firstLine="450"/>
              <w:rPr>
                <w:rFonts w:ascii="宋体" w:eastAsia="宋体"/>
                <w:szCs w:val="20"/>
              </w:rPr>
            </w:pPr>
            <w:r w:rsidRPr="00B36B64">
              <w:rPr>
                <w:rFonts w:ascii="宋体" w:hAnsi="宋体" w:hint="eastAsia"/>
                <w:szCs w:val="20"/>
              </w:rPr>
              <w:t>展望</w:t>
            </w:r>
            <w:r w:rsidRPr="00B36B64">
              <w:rPr>
                <w:rFonts w:ascii="宋体" w:hAnsi="宋体"/>
                <w:szCs w:val="20"/>
              </w:rPr>
              <w:t xml:space="preserve"> 2016 </w:t>
            </w:r>
            <w:r w:rsidRPr="00B36B64">
              <w:rPr>
                <w:rFonts w:ascii="宋体" w:hAnsi="宋体" w:hint="eastAsia"/>
                <w:szCs w:val="20"/>
              </w:rPr>
              <w:t>年全球经济形势，美国经济仍将稳步复苏，其中加息干扰无法避免但是最终或许影响甚微；欧洲和日本将继续维持宽松的流动性以呵护经济复苏。</w:t>
            </w:r>
            <w:r w:rsidRPr="00B36B64">
              <w:rPr>
                <w:rFonts w:ascii="宋体" w:hAnsi="宋体"/>
                <w:szCs w:val="20"/>
              </w:rPr>
              <w:t xml:space="preserve">2016 </w:t>
            </w:r>
            <w:r>
              <w:rPr>
                <w:rFonts w:ascii="宋体" w:hAnsi="宋体" w:hint="eastAsia"/>
                <w:szCs w:val="20"/>
              </w:rPr>
              <w:t>年或许</w:t>
            </w:r>
            <w:r w:rsidRPr="00B36B64">
              <w:rPr>
                <w:rFonts w:ascii="宋体" w:hAnsi="宋体" w:hint="eastAsia"/>
                <w:szCs w:val="20"/>
              </w:rPr>
              <w:t>是新兴市场经济体相对困难的一年，随着美国的加息，新兴市场国家经济复苏赖依的宽松的货币政策环境将面临较大不确定性。目前来看，中国经济短期处于新经济承接三架马车拉动经济增长重任的转换期，汇率贬值预期对国内货币政策继续宽松形</w:t>
            </w:r>
            <w:r>
              <w:rPr>
                <w:rFonts w:ascii="宋体" w:hAnsi="宋体" w:hint="eastAsia"/>
                <w:szCs w:val="20"/>
              </w:rPr>
              <w:t>成了较强的负面硬制约。</w:t>
            </w:r>
          </w:p>
          <w:p w:rsidR="00931916" w:rsidRDefault="00931916" w:rsidP="00931916">
            <w:pPr>
              <w:autoSpaceDE w:val="0"/>
              <w:autoSpaceDN w:val="0"/>
              <w:spacing w:line="288" w:lineRule="auto"/>
              <w:ind w:firstLine="450"/>
              <w:rPr>
                <w:rFonts w:ascii="宋体" w:eastAsia="宋体"/>
                <w:szCs w:val="20"/>
              </w:rPr>
            </w:pPr>
            <w:r w:rsidRPr="00B36B64">
              <w:rPr>
                <w:rFonts w:ascii="宋体" w:hAnsi="宋体" w:hint="eastAsia"/>
                <w:szCs w:val="20"/>
              </w:rPr>
              <w:t>综合来看，本基金管理人判断</w:t>
            </w:r>
            <w:r w:rsidRPr="00B36B64">
              <w:rPr>
                <w:rFonts w:ascii="宋体" w:hAnsi="宋体"/>
                <w:szCs w:val="20"/>
              </w:rPr>
              <w:t xml:space="preserve"> 2016 </w:t>
            </w:r>
            <w:r w:rsidRPr="00B36B64">
              <w:rPr>
                <w:rFonts w:ascii="宋体" w:hAnsi="宋体" w:hint="eastAsia"/>
                <w:szCs w:val="20"/>
              </w:rPr>
              <w:t>年中国经济虽然同样面临着诸多积极因素，但是总体形势并不乐观。</w:t>
            </w:r>
            <w:r w:rsidRPr="00B36B64">
              <w:rPr>
                <w:rFonts w:ascii="宋体" w:hAnsi="宋体"/>
                <w:szCs w:val="20"/>
              </w:rPr>
              <w:t xml:space="preserve">2016 </w:t>
            </w:r>
            <w:r w:rsidRPr="00B36B64">
              <w:rPr>
                <w:rFonts w:ascii="宋体" w:hAnsi="宋体" w:hint="eastAsia"/>
                <w:szCs w:val="20"/>
              </w:rPr>
              <w:t>年宏观经济基本面和货币政策对资本市场的潜在双重压力将是国内的权益市场和债券市场面临的最大风险。权益市场和债券市场经历了</w:t>
            </w:r>
            <w:r w:rsidRPr="00B36B64">
              <w:rPr>
                <w:rFonts w:ascii="宋体" w:hAnsi="宋体"/>
                <w:szCs w:val="20"/>
              </w:rPr>
              <w:t xml:space="preserve"> 2015 </w:t>
            </w:r>
            <w:r w:rsidRPr="00B36B64">
              <w:rPr>
                <w:rFonts w:ascii="宋体" w:hAnsi="宋体" w:hint="eastAsia"/>
                <w:szCs w:val="20"/>
              </w:rPr>
              <w:t>年的大幅上涨后，部分行业的高估值需要一段时间的盈利加速增长予以消化，总体上而言，</w:t>
            </w:r>
            <w:r w:rsidRPr="00B36B64">
              <w:rPr>
                <w:rFonts w:ascii="宋体" w:hAnsi="宋体"/>
                <w:szCs w:val="20"/>
              </w:rPr>
              <w:t xml:space="preserve">2016 </w:t>
            </w:r>
            <w:r w:rsidRPr="00B36B64">
              <w:rPr>
                <w:rFonts w:ascii="宋体" w:hAnsi="宋体" w:hint="eastAsia"/>
                <w:szCs w:val="20"/>
              </w:rPr>
              <w:t>年基金运作面临着较大</w:t>
            </w:r>
            <w:r w:rsidRPr="00B36B64">
              <w:rPr>
                <w:rFonts w:ascii="宋体" w:hAnsi="宋体"/>
                <w:szCs w:val="20"/>
              </w:rPr>
              <w:t xml:space="preserve"> </w:t>
            </w:r>
            <w:r w:rsidRPr="00B36B64">
              <w:rPr>
                <w:rFonts w:ascii="宋体" w:hAnsi="宋体" w:hint="eastAsia"/>
                <w:szCs w:val="20"/>
              </w:rPr>
              <w:t>的挑战。</w:t>
            </w:r>
          </w:p>
          <w:p w:rsidR="00931916" w:rsidRPr="00EC63C8" w:rsidRDefault="00931916" w:rsidP="00931916">
            <w:pPr>
              <w:autoSpaceDE w:val="0"/>
              <w:autoSpaceDN w:val="0"/>
              <w:spacing w:line="288" w:lineRule="auto"/>
              <w:ind w:firstLine="450"/>
              <w:rPr>
                <w:rFonts w:ascii="宋体" w:eastAsia="宋体"/>
                <w:szCs w:val="20"/>
              </w:rPr>
            </w:pPr>
            <w:r>
              <w:rPr>
                <w:rFonts w:ascii="宋体" w:hAnsi="宋体" w:hint="eastAsia"/>
                <w:szCs w:val="20"/>
              </w:rPr>
              <w:t>但是本基金管理人</w:t>
            </w:r>
            <w:r w:rsidRPr="00EC63C8">
              <w:rPr>
                <w:rFonts w:ascii="宋体" w:hAnsi="宋体" w:hint="eastAsia"/>
                <w:szCs w:val="20"/>
              </w:rPr>
              <w:t>采用立足于大数据研究之上的量化模型投资方法，以公开的市场数据为基础，采用不同的量化工具识别跟踪市场最具</w:t>
            </w:r>
            <w:r>
              <w:rPr>
                <w:rFonts w:ascii="宋体" w:hAnsi="宋体" w:hint="eastAsia"/>
                <w:szCs w:val="20"/>
              </w:rPr>
              <w:t>上涨潜力的股票组合，并量化择时投资，以追求风险调整后的最优回报，相信会在实际投资操作中取得了良好的投资回报！</w:t>
            </w:r>
          </w:p>
          <w:p w:rsidR="00931916" w:rsidRPr="00A90F5A" w:rsidRDefault="00931916" w:rsidP="00931916">
            <w:pPr>
              <w:autoSpaceDE w:val="0"/>
              <w:autoSpaceDN w:val="0"/>
              <w:spacing w:line="288" w:lineRule="auto"/>
              <w:ind w:firstLine="450"/>
              <w:rPr>
                <w:rFonts w:ascii="宋体" w:eastAsia="宋体"/>
                <w:szCs w:val="20"/>
              </w:rPr>
            </w:pPr>
          </w:p>
          <w:p w:rsidR="00931916" w:rsidRDefault="00931916" w:rsidP="00931916">
            <w:pPr>
              <w:autoSpaceDE w:val="0"/>
              <w:autoSpaceDN w:val="0"/>
              <w:spacing w:line="288" w:lineRule="auto"/>
              <w:rPr>
                <w:rFonts w:ascii="Times New Roman" w:eastAsia="宋体" w:hAnsi="Times New Roman" w:cs="MS Sans Serif"/>
                <w:color w:val="000000"/>
                <w:szCs w:val="21"/>
              </w:rPr>
            </w:pPr>
          </w:p>
          <w:p w:rsidR="00931916" w:rsidRDefault="00931916" w:rsidP="00931916">
            <w:pPr>
              <w:autoSpaceDE w:val="0"/>
              <w:autoSpaceDN w:val="0"/>
              <w:spacing w:line="288" w:lineRule="auto"/>
              <w:rPr>
                <w:rFonts w:ascii="Times New Roman" w:eastAsia="宋体" w:hAnsi="Times New Roman" w:cs="MS Sans Serif"/>
                <w:color w:val="000000"/>
                <w:szCs w:val="21"/>
              </w:rPr>
            </w:pPr>
          </w:p>
          <w:p w:rsidR="00931916" w:rsidRPr="006839E7" w:rsidRDefault="00931916" w:rsidP="00931916">
            <w:pPr>
              <w:autoSpaceDE w:val="0"/>
              <w:autoSpaceDN w:val="0"/>
              <w:spacing w:line="288" w:lineRule="auto"/>
              <w:rPr>
                <w:rFonts w:ascii="Times New Roman" w:eastAsia="宋体" w:hAnsi="Times New Roman" w:cs="MS Sans Serif"/>
                <w:color w:val="000000"/>
                <w:szCs w:val="21"/>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lastRenderedPageBreak/>
              <w:t xml:space="preserve">6.5 </w:t>
            </w:r>
            <w:r w:rsidRPr="006839E7">
              <w:rPr>
                <w:rFonts w:ascii="Times New Roman" w:eastAsia="宋体" w:hAnsi="Times New Roman" w:cs="宋体" w:hint="eastAsia"/>
                <w:b/>
                <w:bCs/>
                <w:color w:val="000000"/>
                <w:sz w:val="24"/>
                <w:szCs w:val="24"/>
              </w:rPr>
              <w:t>管理人内部有关本基金的监察稽核工作情况</w:t>
            </w:r>
          </w:p>
          <w:p w:rsidR="00931916" w:rsidRDefault="00931916" w:rsidP="00931916">
            <w:pPr>
              <w:autoSpaceDE w:val="0"/>
              <w:autoSpaceDN w:val="0"/>
              <w:spacing w:line="288" w:lineRule="auto"/>
              <w:ind w:firstLine="450"/>
              <w:rPr>
                <w:rFonts w:ascii="宋体" w:eastAsia="宋体"/>
                <w:szCs w:val="20"/>
              </w:rPr>
            </w:pPr>
            <w:r w:rsidRPr="009E44CE">
              <w:rPr>
                <w:rFonts w:ascii="宋体" w:hAnsi="宋体" w:hint="eastAsia"/>
                <w:szCs w:val="20"/>
              </w:rPr>
              <w:t>报告期内，本基金管理人在内部监察工作中一切从合规运作，保障资产委托人利益出发，由独立于各业务部门的监察稽核部对公司经营、受托资产运作及员工行为的合规性进行监督、检查，发现问题及时敦促有关部门改进、完善，并定期制作监察报告报公司管理层。</w:t>
            </w:r>
          </w:p>
          <w:p w:rsidR="00931916" w:rsidRDefault="00931916" w:rsidP="00931916">
            <w:pPr>
              <w:autoSpaceDE w:val="0"/>
              <w:autoSpaceDN w:val="0"/>
              <w:spacing w:line="288" w:lineRule="auto"/>
              <w:ind w:firstLine="450"/>
              <w:rPr>
                <w:rFonts w:ascii="宋体" w:eastAsia="宋体"/>
                <w:szCs w:val="20"/>
              </w:rPr>
            </w:pPr>
            <w:r w:rsidRPr="009E44CE">
              <w:rPr>
                <w:rFonts w:ascii="宋体" w:hAnsi="宋体" w:hint="eastAsia"/>
                <w:szCs w:val="20"/>
              </w:rPr>
              <w:t>工作内容具体如下：</w:t>
            </w:r>
            <w:r w:rsidRPr="009E44CE">
              <w:rPr>
                <w:rFonts w:ascii="宋体" w:hAnsi="宋体"/>
                <w:szCs w:val="20"/>
              </w:rPr>
              <w:t>1</w:t>
            </w:r>
            <w:r w:rsidRPr="009E44CE">
              <w:rPr>
                <w:rFonts w:ascii="宋体" w:hAnsi="宋体" w:hint="eastAsia"/>
                <w:szCs w:val="20"/>
              </w:rPr>
              <w:t>、强调合规培训，夯实公司合规文化环境基础。报告期内，监察稽核部通过外请律师、内部自学、岗前培训等多种方式，有重点、有针对性地展开合规培训工作，强化员工合规理念，深化员工合规意识，努力夯实公司合规内控环境基础。</w:t>
            </w:r>
            <w:r w:rsidRPr="009E44CE">
              <w:rPr>
                <w:rFonts w:ascii="宋体" w:hAnsi="宋体"/>
                <w:szCs w:val="20"/>
              </w:rPr>
              <w:t>2</w:t>
            </w:r>
            <w:r w:rsidRPr="009E44CE">
              <w:rPr>
                <w:rFonts w:ascii="宋体" w:hAnsi="宋体" w:hint="eastAsia"/>
                <w:szCs w:val="20"/>
              </w:rPr>
              <w:t>、强调制度、流程建设，扎实公司内控制度建设。根据新法规、新监管要求，以及公司业务发展实际，及时推动公司各部门补充、修订、完善、优化各项业务制度与流程，保证公司制度、流程的合法合规、全面、适时、有效。</w:t>
            </w:r>
            <w:r w:rsidRPr="009E44CE">
              <w:rPr>
                <w:rFonts w:ascii="宋体" w:hAnsi="宋体"/>
                <w:szCs w:val="20"/>
              </w:rPr>
              <w:t>3</w:t>
            </w:r>
            <w:r w:rsidRPr="009E44CE">
              <w:rPr>
                <w:rFonts w:ascii="宋体" w:hAnsi="宋体" w:hint="eastAsia"/>
                <w:szCs w:val="20"/>
              </w:rPr>
              <w:t>、加强合规监督，确保受托资产投资运作合法合规。紧密跟踪与投资运作相关的法律、法规、受托资产合同及公司制度等的规定，全面把控受托资产投资运作风险点，并以前述风险点为依据，检查、监督各受托资产投资运作合规情况。</w:t>
            </w:r>
            <w:r w:rsidRPr="009E44CE">
              <w:rPr>
                <w:rFonts w:ascii="宋体" w:hAnsi="宋体"/>
                <w:szCs w:val="20"/>
              </w:rPr>
              <w:t>4</w:t>
            </w:r>
            <w:r w:rsidRPr="009E44CE">
              <w:rPr>
                <w:rFonts w:ascii="宋体" w:hAnsi="宋体" w:hint="eastAsia"/>
                <w:szCs w:val="20"/>
              </w:rPr>
              <w:t>、加强专项稽核与检查，确保制度、流程严肃性与执行力。报告期内，监察稽核部按照年初工作计划，开展专项稽核工作，内容涵盖受托资产投资、研究、交易、清算、登记注册、产品开发等等；并根据业务发展需要，以及日常监督中发现问题，临时增加多个检查项目。稽核、检查工作中，监察稽核部重视对发现问题改进完成情况的跟踪，强调问题改进效率与效果，以保障公司制度、流程的严肃性与执行力。</w:t>
            </w:r>
            <w:r w:rsidRPr="009E44CE">
              <w:rPr>
                <w:rFonts w:ascii="宋体" w:hAnsi="宋体"/>
                <w:szCs w:val="20"/>
              </w:rPr>
              <w:t>5</w:t>
            </w:r>
            <w:r w:rsidRPr="009E44CE">
              <w:rPr>
                <w:rFonts w:ascii="宋体" w:hAnsi="宋体" w:hint="eastAsia"/>
                <w:szCs w:val="20"/>
              </w:rPr>
              <w:t>、加强员工行为合规的检查监督。报告期内，监察稽核部借助信息技术系统，通过完善员工投资报备系统、建设员工合规档案系统等，提高员工行为合规管理水平，督促员工自觉合规。</w:t>
            </w:r>
          </w:p>
          <w:p w:rsidR="00931916" w:rsidRPr="009E44CE" w:rsidRDefault="00931916" w:rsidP="00931916">
            <w:pPr>
              <w:autoSpaceDE w:val="0"/>
              <w:autoSpaceDN w:val="0"/>
              <w:spacing w:line="288" w:lineRule="auto"/>
              <w:ind w:firstLine="450"/>
              <w:rPr>
                <w:rFonts w:ascii="宋体" w:eastAsia="宋体"/>
                <w:szCs w:val="20"/>
              </w:rPr>
            </w:pPr>
            <w:r w:rsidRPr="009E44CE">
              <w:rPr>
                <w:rFonts w:ascii="宋体" w:hAnsi="宋体" w:hint="eastAsia"/>
                <w:szCs w:val="20"/>
              </w:rPr>
              <w:t>本基金管理人承诺：在今后的工作中，我们将继续以保障资产委托人的利益为宗旨，不断提高内部监察工作的科学性和有效性，努力防范各种风险，保障公司、受托资产合规运作。</w:t>
            </w:r>
          </w:p>
          <w:p w:rsidR="00931916"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6.6 </w:t>
            </w:r>
            <w:r w:rsidRPr="006839E7">
              <w:rPr>
                <w:rFonts w:ascii="Times New Roman" w:eastAsia="宋体" w:hAnsi="Times New Roman" w:cs="宋体" w:hint="eastAsia"/>
                <w:b/>
                <w:bCs/>
                <w:color w:val="000000"/>
                <w:sz w:val="24"/>
                <w:szCs w:val="24"/>
              </w:rPr>
              <w:t>管理人对报告期内基金估值程序等事项的说明</w:t>
            </w:r>
          </w:p>
          <w:p w:rsidR="002D509C" w:rsidRDefault="00931916" w:rsidP="00931916">
            <w:pPr>
              <w:autoSpaceDE w:val="0"/>
              <w:autoSpaceDN w:val="0"/>
              <w:spacing w:line="288" w:lineRule="auto"/>
              <w:ind w:firstLineChars="200" w:firstLine="440"/>
              <w:rPr>
                <w:rFonts w:ascii="宋体" w:hAnsi="宋体"/>
                <w:szCs w:val="20"/>
              </w:rPr>
            </w:pPr>
            <w:r w:rsidRPr="009E44CE">
              <w:rPr>
                <w:rFonts w:ascii="宋体" w:hAnsi="宋体" w:hint="eastAsia"/>
                <w:szCs w:val="20"/>
              </w:rPr>
              <w:t>根据中国证监会相关规定及本基金合同约定，本基金管理人严格按照《企业会计准则》、中国证监会相关规定和基金合同关于估值的约定，对基金所持投资品种进行估值。本基金管理人制订了证券投资基金估值政策与</w:t>
            </w:r>
            <w:r w:rsidRPr="005E3FB3">
              <w:rPr>
                <w:rFonts w:ascii="宋体" w:hAnsi="宋体" w:hint="eastAsia"/>
                <w:szCs w:val="20"/>
              </w:rPr>
              <w:t>估值程序，</w:t>
            </w:r>
            <w:r w:rsidR="004476C1" w:rsidRPr="005E3FB3">
              <w:rPr>
                <w:rFonts w:ascii="宋体" w:hAnsi="宋体" w:hint="eastAsia"/>
                <w:szCs w:val="20"/>
              </w:rPr>
              <w:t>将</w:t>
            </w:r>
            <w:r w:rsidR="004476C1" w:rsidRPr="005E3FB3">
              <w:rPr>
                <w:rFonts w:ascii="宋体" w:hAnsi="宋体"/>
                <w:szCs w:val="20"/>
              </w:rPr>
              <w:t>基金</w:t>
            </w:r>
            <w:r w:rsidR="00D519CD">
              <w:rPr>
                <w:rFonts w:ascii="宋体" w:hAnsi="宋体" w:hint="eastAsia"/>
                <w:szCs w:val="20"/>
              </w:rPr>
              <w:t>估值</w:t>
            </w:r>
            <w:r w:rsidR="00D519CD">
              <w:rPr>
                <w:rFonts w:ascii="宋体" w:hAnsi="宋体"/>
                <w:szCs w:val="20"/>
              </w:rPr>
              <w:t>业务外包</w:t>
            </w:r>
            <w:r w:rsidR="00D519CD">
              <w:rPr>
                <w:rFonts w:ascii="宋体" w:hAnsi="宋体" w:hint="eastAsia"/>
                <w:szCs w:val="20"/>
              </w:rPr>
              <w:t>给</w:t>
            </w:r>
            <w:r w:rsidR="004476C1" w:rsidRPr="005E3FB3">
              <w:rPr>
                <w:rFonts w:ascii="宋体" w:hAnsi="宋体"/>
                <w:szCs w:val="20"/>
              </w:rPr>
              <w:t>招商证券金融外包服务机构进行估值</w:t>
            </w:r>
            <w:r w:rsidRPr="005E3FB3">
              <w:rPr>
                <w:rFonts w:ascii="宋体" w:hAnsi="宋体" w:hint="eastAsia"/>
                <w:szCs w:val="20"/>
              </w:rPr>
              <w:t>。</w:t>
            </w:r>
          </w:p>
          <w:p w:rsidR="000B0915" w:rsidRDefault="00931916" w:rsidP="00931916">
            <w:pPr>
              <w:autoSpaceDE w:val="0"/>
              <w:autoSpaceDN w:val="0"/>
              <w:spacing w:line="288" w:lineRule="auto"/>
              <w:ind w:firstLineChars="200" w:firstLine="440"/>
              <w:rPr>
                <w:rFonts w:ascii="宋体" w:hAnsi="宋体"/>
                <w:szCs w:val="20"/>
              </w:rPr>
            </w:pPr>
            <w:r w:rsidRPr="009E44CE">
              <w:rPr>
                <w:rFonts w:ascii="宋体" w:hAnsi="宋体" w:hint="eastAsia"/>
                <w:szCs w:val="20"/>
              </w:rPr>
              <w:lastRenderedPageBreak/>
              <w:t>本基金管理人设立了由公司总经理、投资总监、风险管理部、业务运营部等部门负责人组成的基金估值</w:t>
            </w:r>
            <w:r w:rsidR="004E39A0">
              <w:rPr>
                <w:rFonts w:ascii="宋体" w:hAnsi="宋体" w:hint="eastAsia"/>
                <w:szCs w:val="20"/>
              </w:rPr>
              <w:t>复核</w:t>
            </w:r>
            <w:r w:rsidR="009D180A">
              <w:rPr>
                <w:rFonts w:ascii="宋体" w:hAnsi="宋体" w:hint="eastAsia"/>
                <w:szCs w:val="20"/>
              </w:rPr>
              <w:t>小组，负责研究、指导并执行基金估值业务</w:t>
            </w:r>
            <w:r w:rsidRPr="009E44CE">
              <w:rPr>
                <w:rFonts w:ascii="宋体" w:hAnsi="宋体" w:hint="eastAsia"/>
                <w:szCs w:val="20"/>
              </w:rPr>
              <w:t>。托管人根据法律法规要求对基金估值及净值计算履行复核责任，当存有异议时，托管人有责任要求基金管理</w:t>
            </w:r>
            <w:r w:rsidR="00D519CD">
              <w:rPr>
                <w:rFonts w:ascii="宋体" w:hAnsi="宋体" w:hint="eastAsia"/>
                <w:szCs w:val="20"/>
              </w:rPr>
              <w:t>人</w:t>
            </w:r>
            <w:bookmarkStart w:id="8" w:name="_GoBack"/>
            <w:bookmarkEnd w:id="8"/>
            <w:r w:rsidRPr="009E44CE">
              <w:rPr>
                <w:rFonts w:ascii="宋体" w:hAnsi="宋体" w:hint="eastAsia"/>
                <w:szCs w:val="20"/>
              </w:rPr>
              <w:t>作出合理解释，通过积极商讨达成一致意见。</w:t>
            </w:r>
          </w:p>
          <w:p w:rsidR="00931916"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6.7 </w:t>
            </w:r>
            <w:r w:rsidRPr="006839E7">
              <w:rPr>
                <w:rFonts w:ascii="Times New Roman" w:eastAsia="宋体" w:hAnsi="Times New Roman" w:cs="宋体" w:hint="eastAsia"/>
                <w:b/>
                <w:bCs/>
                <w:color w:val="000000"/>
                <w:sz w:val="24"/>
                <w:szCs w:val="24"/>
              </w:rPr>
              <w:t>管理人对报告期内基金利润分配情况的说明</w:t>
            </w:r>
          </w:p>
          <w:p w:rsidR="00931916" w:rsidRPr="00931916" w:rsidRDefault="00931916" w:rsidP="00931916">
            <w:pPr>
              <w:ind w:firstLineChars="200" w:firstLine="480"/>
              <w:rPr>
                <w:sz w:val="24"/>
                <w:szCs w:val="24"/>
              </w:rPr>
            </w:pPr>
            <w:r>
              <w:rPr>
                <w:rFonts w:hint="eastAsia"/>
                <w:sz w:val="24"/>
                <w:szCs w:val="24"/>
              </w:rPr>
              <w:t>根据《证券投资基金运作管理办法》的规定以及本</w:t>
            </w:r>
            <w:r w:rsidRPr="00B31474">
              <w:rPr>
                <w:rFonts w:hint="eastAsia"/>
                <w:sz w:val="24"/>
                <w:szCs w:val="24"/>
              </w:rPr>
              <w:t>基金合同中对基金利润分配原则的约定，本报告期内未实施利润分配。</w:t>
            </w:r>
          </w:p>
          <w:p w:rsidR="00931916" w:rsidRPr="006839E7" w:rsidRDefault="00931916" w:rsidP="00931916">
            <w:pPr>
              <w:autoSpaceDE w:val="0"/>
              <w:autoSpaceDN w:val="0"/>
              <w:spacing w:line="288" w:lineRule="auto"/>
              <w:rPr>
                <w:rFonts w:ascii="Times New Roman" w:eastAsia="宋体" w:hAnsi="Times New Roman" w:cs="MS Sans Serif"/>
                <w:color w:val="000000"/>
                <w:szCs w:val="21"/>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6.8 </w:t>
            </w:r>
            <w:r w:rsidRPr="006839E7">
              <w:rPr>
                <w:rFonts w:ascii="Times New Roman" w:eastAsia="宋体" w:hAnsi="Times New Roman" w:cs="宋体" w:hint="eastAsia"/>
                <w:b/>
                <w:bCs/>
                <w:color w:val="000000"/>
                <w:sz w:val="24"/>
                <w:szCs w:val="24"/>
              </w:rPr>
              <w:t>管理人对会计师事务所出具非标准审计报告所涉相关事项的说明</w:t>
            </w:r>
          </w:p>
          <w:p w:rsidR="00931916" w:rsidRDefault="00931916" w:rsidP="00931916">
            <w:pPr>
              <w:autoSpaceDE w:val="0"/>
              <w:autoSpaceDN w:val="0"/>
              <w:spacing w:line="288" w:lineRule="auto"/>
              <w:ind w:firstLine="450"/>
              <w:rPr>
                <w:rFonts w:ascii="Times New Roman" w:eastAsia="宋体" w:hAnsi="Times New Roman" w:cs="宋体"/>
                <w:color w:val="000000"/>
              </w:rPr>
            </w:pPr>
            <w:r>
              <w:rPr>
                <w:rFonts w:ascii="Times New Roman" w:eastAsia="宋体" w:hAnsi="Times New Roman" w:cs="宋体" w:hint="eastAsia"/>
                <w:color w:val="000000"/>
              </w:rPr>
              <w:t>无。</w:t>
            </w:r>
          </w:p>
          <w:p w:rsidR="00931916" w:rsidRPr="00931916" w:rsidRDefault="00931916" w:rsidP="00931916">
            <w:pPr>
              <w:autoSpaceDE w:val="0"/>
              <w:autoSpaceDN w:val="0"/>
              <w:spacing w:line="288" w:lineRule="auto"/>
              <w:ind w:firstLine="450"/>
              <w:rPr>
                <w:rFonts w:ascii="Times New Roman" w:eastAsia="宋体" w:hAnsi="Times New Roman" w:cs="宋体"/>
                <w:color w:val="000000"/>
              </w:rPr>
            </w:pPr>
          </w:p>
          <w:p w:rsidR="00931916" w:rsidRPr="006839E7" w:rsidRDefault="00931916" w:rsidP="00931916">
            <w:pPr>
              <w:autoSpaceDE w:val="0"/>
              <w:autoSpaceDN w:val="0"/>
              <w:spacing w:before="29" w:line="288" w:lineRule="auto"/>
              <w:ind w:left="15"/>
              <w:rPr>
                <w:rFonts w:ascii="Times New Roman" w:eastAsia="宋体" w:hAnsi="Times New Roman" w:cs="宋体"/>
                <w:b/>
                <w:bCs/>
                <w:color w:val="000000"/>
                <w:sz w:val="24"/>
                <w:szCs w:val="24"/>
              </w:rPr>
            </w:pPr>
            <w:r w:rsidRPr="006839E7">
              <w:rPr>
                <w:rFonts w:ascii="Times New Roman" w:eastAsia="宋体" w:hAnsi="Times New Roman" w:cs="宋体"/>
                <w:b/>
                <w:bCs/>
                <w:color w:val="000000"/>
                <w:sz w:val="24"/>
                <w:szCs w:val="24"/>
              </w:rPr>
              <w:t xml:space="preserve">6.9 </w:t>
            </w:r>
            <w:r w:rsidRPr="006839E7">
              <w:rPr>
                <w:rFonts w:ascii="Times New Roman" w:eastAsia="宋体" w:hAnsi="Times New Roman" w:cs="宋体" w:hint="eastAsia"/>
                <w:b/>
                <w:bCs/>
                <w:color w:val="000000"/>
                <w:sz w:val="24"/>
                <w:szCs w:val="24"/>
              </w:rPr>
              <w:t>报告期内管理人对本基金持有人数或基金资产净值预警情形的说明</w:t>
            </w:r>
          </w:p>
          <w:p w:rsidR="00931916" w:rsidRPr="006839E7" w:rsidRDefault="00931916" w:rsidP="00931916">
            <w:pPr>
              <w:autoSpaceDE w:val="0"/>
              <w:autoSpaceDN w:val="0"/>
              <w:spacing w:line="288" w:lineRule="auto"/>
              <w:rPr>
                <w:rFonts w:ascii="Times New Roman" w:eastAsia="宋体" w:hAnsi="Times New Roman" w:cs="宋体"/>
                <w:color w:val="000000"/>
              </w:rPr>
            </w:pPr>
            <w:r w:rsidRPr="006839E7">
              <w:rPr>
                <w:rFonts w:ascii="Times New Roman" w:eastAsia="宋体" w:hAnsi="Times New Roman" w:cs="宋体"/>
                <w:color w:val="000000"/>
              </w:rPr>
              <w:t xml:space="preserve">    </w:t>
            </w:r>
            <w:r>
              <w:rPr>
                <w:rFonts w:ascii="Times New Roman" w:eastAsia="宋体" w:hAnsi="Times New Roman" w:cs="宋体" w:hint="eastAsia"/>
                <w:color w:val="000000"/>
              </w:rPr>
              <w:t>报告期内共</w:t>
            </w:r>
            <w:r w:rsidR="009D7651">
              <w:rPr>
                <w:rFonts w:ascii="Times New Roman" w:eastAsia="宋体" w:hAnsi="Times New Roman" w:cs="宋体"/>
                <w:color w:val="000000"/>
              </w:rPr>
              <w:t>2</w:t>
            </w:r>
            <w:r>
              <w:rPr>
                <w:rFonts w:ascii="Times New Roman" w:eastAsia="宋体" w:hAnsi="Times New Roman" w:cs="宋体" w:hint="eastAsia"/>
                <w:color w:val="000000"/>
              </w:rPr>
              <w:t>位投资者申购</w:t>
            </w:r>
            <w:r w:rsidR="009D7651">
              <w:rPr>
                <w:rFonts w:ascii="Times New Roman" w:eastAsia="宋体" w:hAnsi="Times New Roman" w:cs="宋体" w:hint="eastAsia"/>
                <w:color w:val="000000"/>
              </w:rPr>
              <w:t>本</w:t>
            </w:r>
            <w:r>
              <w:rPr>
                <w:rFonts w:ascii="Times New Roman" w:eastAsia="宋体" w:hAnsi="Times New Roman" w:cs="宋体" w:hint="eastAsia"/>
                <w:color w:val="000000"/>
              </w:rPr>
              <w:t>基金，其中</w:t>
            </w:r>
            <w:r w:rsidR="009D7651">
              <w:rPr>
                <w:rFonts w:ascii="Times New Roman" w:eastAsia="宋体" w:hAnsi="Times New Roman" w:cs="宋体"/>
                <w:color w:val="000000"/>
              </w:rPr>
              <w:t>2</w:t>
            </w:r>
            <w:r>
              <w:rPr>
                <w:rFonts w:ascii="Times New Roman" w:eastAsia="宋体" w:hAnsi="Times New Roman" w:cs="宋体" w:hint="eastAsia"/>
                <w:color w:val="000000"/>
              </w:rPr>
              <w:t>位追加申购，</w:t>
            </w:r>
            <w:r w:rsidR="003C1298">
              <w:rPr>
                <w:rFonts w:ascii="Times New Roman" w:eastAsia="宋体" w:hAnsi="Times New Roman" w:cs="宋体" w:hint="eastAsia"/>
                <w:color w:val="000000"/>
              </w:rPr>
              <w:t>本季末</w:t>
            </w:r>
            <w:r>
              <w:rPr>
                <w:rFonts w:ascii="Times New Roman" w:eastAsia="宋体" w:hAnsi="Times New Roman" w:cs="宋体" w:hint="eastAsia"/>
                <w:color w:val="000000"/>
              </w:rPr>
              <w:t>累计份额为</w:t>
            </w:r>
            <w:r w:rsidR="00662C72">
              <w:rPr>
                <w:rFonts w:ascii="宋体" w:eastAsia="宋体" w:hAnsi="宋体" w:cstheme="minorBidi" w:hint="eastAsia"/>
                <w:sz w:val="21"/>
                <w:szCs w:val="21"/>
              </w:rPr>
              <w:t>31950041.84</w:t>
            </w:r>
            <w:r>
              <w:rPr>
                <w:rFonts w:ascii="Times New Roman" w:eastAsia="宋体" w:hAnsi="Times New Roman" w:cs="宋体" w:hint="eastAsia"/>
                <w:color w:val="000000"/>
              </w:rPr>
              <w:t>份，报告期内基金规模约为</w:t>
            </w:r>
            <w:r>
              <w:rPr>
                <w:rFonts w:ascii="Times New Roman" w:eastAsia="宋体" w:hAnsi="Times New Roman" w:cs="宋体"/>
                <w:color w:val="000000"/>
              </w:rPr>
              <w:t>0.</w:t>
            </w:r>
            <w:r w:rsidR="002A3B52">
              <w:rPr>
                <w:rFonts w:ascii="Times New Roman" w:eastAsia="宋体" w:hAnsi="Times New Roman" w:cs="宋体"/>
                <w:color w:val="000000"/>
              </w:rPr>
              <w:t>58</w:t>
            </w:r>
            <w:r>
              <w:rPr>
                <w:rFonts w:ascii="Times New Roman" w:eastAsia="宋体" w:hAnsi="Times New Roman" w:cs="宋体" w:hint="eastAsia"/>
                <w:color w:val="000000"/>
              </w:rPr>
              <w:t>亿。</w:t>
            </w:r>
          </w:p>
          <w:p w:rsidR="00931916" w:rsidRPr="002A3B52" w:rsidRDefault="00931916" w:rsidP="00B47F8F">
            <w:pPr>
              <w:pStyle w:val="HTML"/>
            </w:pPr>
          </w:p>
          <w:p w:rsidR="00B17BCE" w:rsidRDefault="00B17BCE" w:rsidP="00B47F8F">
            <w:pPr>
              <w:adjustRightInd/>
              <w:snapToGrid/>
              <w:spacing w:after="0"/>
              <w:rPr>
                <w:rFonts w:ascii="宋体" w:eastAsia="宋体" w:hAnsi="宋体" w:cs="Times New Roman"/>
                <w:b/>
                <w:kern w:val="2"/>
                <w:sz w:val="21"/>
                <w:szCs w:val="21"/>
              </w:rPr>
            </w:pPr>
          </w:p>
        </w:tc>
      </w:tr>
    </w:tbl>
    <w:p w:rsidR="00B17BCE" w:rsidRDefault="00B17BCE" w:rsidP="00B17BCE">
      <w:pPr>
        <w:spacing w:after="0" w:line="300" w:lineRule="exact"/>
        <w:rPr>
          <w:rFonts w:ascii="宋体" w:eastAsia="宋体" w:hAnsi="宋体" w:cs="Times New Roman"/>
          <w:b/>
          <w:kern w:val="2"/>
          <w:sz w:val="24"/>
          <w:szCs w:val="24"/>
        </w:rPr>
      </w:pPr>
    </w:p>
    <w:p w:rsidR="00DB73EB" w:rsidRPr="00B17BCE" w:rsidRDefault="00F35859"/>
    <w:sectPr w:rsidR="00DB73EB" w:rsidRPr="00B17BCE">
      <w:pgSz w:w="11906" w:h="16838"/>
      <w:pgMar w:top="1440" w:right="1800" w:bottom="1440" w:left="1800" w:header="708" w:footer="70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59" w:rsidRDefault="00F35859" w:rsidP="00931916">
      <w:pPr>
        <w:spacing w:after="0"/>
      </w:pPr>
      <w:r>
        <w:separator/>
      </w:r>
    </w:p>
  </w:endnote>
  <w:endnote w:type="continuationSeparator" w:id="0">
    <w:p w:rsidR="00F35859" w:rsidRDefault="00F35859" w:rsidP="00931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59" w:rsidRDefault="00F35859" w:rsidP="00931916">
      <w:pPr>
        <w:spacing w:after="0"/>
      </w:pPr>
      <w:r>
        <w:separator/>
      </w:r>
    </w:p>
  </w:footnote>
  <w:footnote w:type="continuationSeparator" w:id="0">
    <w:p w:rsidR="00F35859" w:rsidRDefault="00F35859" w:rsidP="0093191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E"/>
    <w:rsid w:val="000B0915"/>
    <w:rsid w:val="00102D36"/>
    <w:rsid w:val="002A3B52"/>
    <w:rsid w:val="002D509C"/>
    <w:rsid w:val="003C1298"/>
    <w:rsid w:val="004476C1"/>
    <w:rsid w:val="00462C3D"/>
    <w:rsid w:val="004A61CE"/>
    <w:rsid w:val="004E39A0"/>
    <w:rsid w:val="004F3624"/>
    <w:rsid w:val="00543AFF"/>
    <w:rsid w:val="005E3FB3"/>
    <w:rsid w:val="00613943"/>
    <w:rsid w:val="00662C72"/>
    <w:rsid w:val="00931916"/>
    <w:rsid w:val="009D180A"/>
    <w:rsid w:val="009D7651"/>
    <w:rsid w:val="00B03FB8"/>
    <w:rsid w:val="00B17BCE"/>
    <w:rsid w:val="00B97433"/>
    <w:rsid w:val="00BA6157"/>
    <w:rsid w:val="00C53115"/>
    <w:rsid w:val="00D519CD"/>
    <w:rsid w:val="00D70031"/>
    <w:rsid w:val="00DB2261"/>
    <w:rsid w:val="00DF5222"/>
    <w:rsid w:val="00EF1074"/>
    <w:rsid w:val="00F17559"/>
    <w:rsid w:val="00F35859"/>
    <w:rsid w:val="00F6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0D12F-3FD0-42BB-905D-14439610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BCE"/>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7BCE"/>
    <w:rPr>
      <w:color w:val="0563C1" w:themeColor="hyperlink"/>
      <w:u w:val="single"/>
    </w:rPr>
  </w:style>
  <w:style w:type="paragraph" w:styleId="1">
    <w:name w:val="toc 1"/>
    <w:basedOn w:val="a"/>
    <w:next w:val="a"/>
    <w:autoRedefine/>
    <w:uiPriority w:val="39"/>
    <w:semiHidden/>
    <w:unhideWhenUsed/>
    <w:rsid w:val="00B17BCE"/>
    <w:pPr>
      <w:tabs>
        <w:tab w:val="right" w:leader="dot" w:pos="8296"/>
      </w:tabs>
      <w:spacing w:before="120" w:after="120"/>
    </w:pPr>
    <w:rPr>
      <w:rFonts w:ascii="宋体" w:eastAsia="宋体" w:hAnsi="宋体" w:cs="Times New Roman"/>
      <w:bCs/>
      <w:smallCaps/>
      <w:noProof/>
      <w:kern w:val="28"/>
      <w:sz w:val="20"/>
      <w:szCs w:val="20"/>
      <w:lang w:val="x-none" w:eastAsia="x-none"/>
    </w:rPr>
  </w:style>
  <w:style w:type="paragraph" w:styleId="2">
    <w:name w:val="toc 2"/>
    <w:basedOn w:val="a"/>
    <w:next w:val="a"/>
    <w:autoRedefine/>
    <w:uiPriority w:val="39"/>
    <w:semiHidden/>
    <w:unhideWhenUsed/>
    <w:rsid w:val="00B17BCE"/>
    <w:pPr>
      <w:tabs>
        <w:tab w:val="right" w:leader="dot" w:pos="8296"/>
      </w:tabs>
      <w:spacing w:after="0"/>
      <w:ind w:left="220"/>
    </w:pPr>
    <w:rPr>
      <w:rFonts w:ascii="宋体" w:eastAsia="宋体" w:hAnsi="宋体" w:cs="Times New Roman"/>
      <w:bCs/>
      <w:smallCaps/>
      <w:noProof/>
      <w:kern w:val="28"/>
      <w:sz w:val="20"/>
      <w:szCs w:val="20"/>
      <w:lang w:val="x-none" w:eastAsia="x-none"/>
    </w:rPr>
  </w:style>
  <w:style w:type="paragraph" w:styleId="a4">
    <w:name w:val="List Paragraph"/>
    <w:basedOn w:val="a"/>
    <w:uiPriority w:val="34"/>
    <w:qFormat/>
    <w:rsid w:val="00B17BCE"/>
    <w:pPr>
      <w:ind w:firstLineChars="200" w:firstLine="420"/>
    </w:pPr>
  </w:style>
  <w:style w:type="table" w:styleId="a5">
    <w:name w:val="Table Grid"/>
    <w:basedOn w:val="a1"/>
    <w:uiPriority w:val="39"/>
    <w:rsid w:val="00B17BCE"/>
    <w:rPr>
      <w:rFonts w:eastAsia="微软雅黑" w:cs="Calibri"/>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B1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B17BCE"/>
    <w:rPr>
      <w:rFonts w:ascii="宋体" w:eastAsia="宋体" w:hAnsi="宋体" w:cs="宋体"/>
      <w:kern w:val="0"/>
      <w:sz w:val="24"/>
      <w:szCs w:val="24"/>
    </w:rPr>
  </w:style>
  <w:style w:type="paragraph" w:styleId="a6">
    <w:name w:val="header"/>
    <w:basedOn w:val="a"/>
    <w:link w:val="Char"/>
    <w:uiPriority w:val="99"/>
    <w:unhideWhenUsed/>
    <w:rsid w:val="009319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931916"/>
    <w:rPr>
      <w:rFonts w:ascii="Tahoma" w:eastAsia="微软雅黑" w:hAnsi="Tahoma"/>
      <w:kern w:val="0"/>
      <w:sz w:val="18"/>
      <w:szCs w:val="18"/>
    </w:rPr>
  </w:style>
  <w:style w:type="paragraph" w:styleId="a7">
    <w:name w:val="footer"/>
    <w:basedOn w:val="a"/>
    <w:link w:val="Char0"/>
    <w:uiPriority w:val="99"/>
    <w:unhideWhenUsed/>
    <w:rsid w:val="00931916"/>
    <w:pPr>
      <w:tabs>
        <w:tab w:val="center" w:pos="4153"/>
        <w:tab w:val="right" w:pos="8306"/>
      </w:tabs>
    </w:pPr>
    <w:rPr>
      <w:sz w:val="18"/>
      <w:szCs w:val="18"/>
    </w:rPr>
  </w:style>
  <w:style w:type="character" w:customStyle="1" w:styleId="Char0">
    <w:name w:val="页脚 Char"/>
    <w:basedOn w:val="a0"/>
    <w:link w:val="a7"/>
    <w:uiPriority w:val="99"/>
    <w:rsid w:val="00931916"/>
    <w:rPr>
      <w:rFonts w:ascii="Tahoma" w:eastAsia="微软雅黑" w:hAnsi="Tahoma"/>
      <w:kern w:val="0"/>
      <w:sz w:val="18"/>
      <w:szCs w:val="18"/>
    </w:rPr>
  </w:style>
  <w:style w:type="paragraph" w:styleId="a8">
    <w:name w:val="Balloon Text"/>
    <w:basedOn w:val="a"/>
    <w:link w:val="Char1"/>
    <w:uiPriority w:val="99"/>
    <w:semiHidden/>
    <w:unhideWhenUsed/>
    <w:rsid w:val="00931916"/>
    <w:pPr>
      <w:spacing w:after="0"/>
    </w:pPr>
    <w:rPr>
      <w:sz w:val="18"/>
      <w:szCs w:val="18"/>
    </w:rPr>
  </w:style>
  <w:style w:type="character" w:customStyle="1" w:styleId="Char1">
    <w:name w:val="批注框文本 Char"/>
    <w:basedOn w:val="a0"/>
    <w:link w:val="a8"/>
    <w:uiPriority w:val="99"/>
    <w:semiHidden/>
    <w:rsid w:val="00931916"/>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825</Words>
  <Characters>4703</Characters>
  <Application>Microsoft Office Word</Application>
  <DocSecurity>0</DocSecurity>
  <Lines>39</Lines>
  <Paragraphs>11</Paragraphs>
  <ScaleCrop>false</ScaleCrop>
  <Company>Sky123.Org</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28</cp:revision>
  <cp:lastPrinted>2016-04-14T06:33:00Z</cp:lastPrinted>
  <dcterms:created xsi:type="dcterms:W3CDTF">2016-04-14T01:23:00Z</dcterms:created>
  <dcterms:modified xsi:type="dcterms:W3CDTF">2016-04-15T05:43:00Z</dcterms:modified>
</cp:coreProperties>
</file>