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25" w:rsidRDefault="00646D25" w:rsidP="00646D25">
      <w:pPr>
        <w:widowControl w:val="0"/>
        <w:adjustRightInd/>
        <w:snapToGrid/>
        <w:spacing w:after="0"/>
        <w:jc w:val="center"/>
      </w:pPr>
      <w:r>
        <w:rPr>
          <w:rFonts w:ascii="宋体" w:eastAsia="宋体" w:hAnsi="宋体" w:hint="eastAsia"/>
          <w:b/>
          <w:kern w:val="2"/>
          <w:sz w:val="30"/>
          <w:szCs w:val="30"/>
        </w:rPr>
        <w:t>信复创值2号基金2016年第2季度报告</w:t>
      </w:r>
    </w:p>
    <w:p w:rsidR="00646D25" w:rsidRDefault="00646D25" w:rsidP="00646D25">
      <w:pPr>
        <w:spacing w:line="220" w:lineRule="atLeast"/>
        <w:jc w:val="center"/>
        <w:rPr>
          <w:rFonts w:ascii="宋体" w:eastAsia="宋体" w:hAnsi="宋体"/>
          <w:b/>
          <w:kern w:val="2"/>
          <w:sz w:val="30"/>
          <w:szCs w:val="30"/>
        </w:rPr>
      </w:pPr>
    </w:p>
    <w:p w:rsidR="00646D25" w:rsidRDefault="00646D25" w:rsidP="00646D25">
      <w:pPr>
        <w:pStyle w:val="1"/>
        <w:rPr>
          <w:rFonts w:asciiTheme="minorHAnsi" w:eastAsiaTheme="minorEastAsia" w:hAnsiTheme="minorHAnsi" w:cstheme="minorBidi" w:hint="eastAsia"/>
          <w:bCs w:val="0"/>
          <w:vanish/>
          <w:kern w:val="2"/>
          <w:sz w:val="21"/>
          <w:szCs w:val="22"/>
          <w:lang w:val="en-US" w:eastAsia="zh-CN"/>
        </w:rPr>
      </w:pPr>
      <w:r>
        <w:rPr>
          <w:rFonts w:ascii="黑体" w:eastAsia="黑体" w:hAnsi="黑体" w:hint="eastAsia"/>
          <w:caps/>
          <w:vanish/>
          <w:kern w:val="2"/>
          <w:sz w:val="24"/>
          <w:szCs w:val="24"/>
        </w:rPr>
        <w:fldChar w:fldCharType="begin"/>
      </w:r>
      <w:r>
        <w:rPr>
          <w:rFonts w:ascii="黑体" w:eastAsia="黑体" w:hAnsi="黑体" w:hint="eastAsia"/>
          <w:caps/>
          <w:vanish/>
          <w:kern w:val="2"/>
          <w:sz w:val="24"/>
          <w:szCs w:val="24"/>
        </w:rPr>
        <w:instrText xml:space="preserve"> TOC \o "1-3" \n \p " " \h \z \u </w:instrText>
      </w:r>
      <w:r>
        <w:rPr>
          <w:rFonts w:ascii="黑体" w:eastAsia="黑体" w:hAnsi="黑体"/>
          <w:caps/>
          <w:vanish/>
          <w:kern w:val="2"/>
          <w:sz w:val="24"/>
          <w:szCs w:val="24"/>
        </w:rPr>
        <w:fldChar w:fldCharType="separate"/>
      </w:r>
      <w:hyperlink w:anchor="_Toc454790235" w:history="1">
        <w:r>
          <w:rPr>
            <w:rStyle w:val="a3"/>
            <w:rFonts w:hint="eastAsia"/>
            <w:b/>
            <w:vanish/>
          </w:rPr>
          <w:t>1、基金基本情况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646D25" w:rsidRDefault="00646D25" w:rsidP="00646D25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36" w:history="1">
        <w:r>
          <w:rPr>
            <w:rStyle w:val="a3"/>
            <w:rFonts w:hint="eastAsia"/>
            <w:b/>
            <w:vanish/>
          </w:rPr>
          <w:t>2、基金净值表现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646D25" w:rsidRDefault="00646D25" w:rsidP="00646D25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37" w:history="1">
        <w:r>
          <w:rPr>
            <w:rStyle w:val="a3"/>
            <w:rFonts w:hint="eastAsia"/>
            <w:b/>
            <w:vanish/>
          </w:rPr>
          <w:t>3、主要财务指标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646D25" w:rsidRDefault="00646D25" w:rsidP="00646D25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38" w:history="1">
        <w:r>
          <w:rPr>
            <w:rStyle w:val="a3"/>
            <w:rFonts w:hint="eastAsia"/>
            <w:b/>
            <w:vanish/>
          </w:rPr>
          <w:t>4、投资组合报告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646D25" w:rsidRDefault="00646D25" w:rsidP="00646D25">
      <w:pPr>
        <w:pStyle w:val="2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39" w:history="1">
        <w:r>
          <w:rPr>
            <w:rStyle w:val="a3"/>
            <w:rFonts w:hint="eastAsia"/>
            <w:b/>
            <w:vanish/>
          </w:rPr>
          <w:t>4.1 期末基金资产组合情况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646D25" w:rsidRDefault="00646D25" w:rsidP="00646D25">
      <w:pPr>
        <w:pStyle w:val="2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40" w:history="1">
        <w:r>
          <w:rPr>
            <w:rStyle w:val="a3"/>
            <w:rFonts w:hint="eastAsia"/>
            <w:b/>
            <w:vanish/>
          </w:rPr>
          <w:t>4.2 期末按行业分类的股票投资组合(不含沪港通)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646D25" w:rsidRDefault="00646D25" w:rsidP="00646D25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41" w:history="1">
        <w:r>
          <w:rPr>
            <w:rStyle w:val="a3"/>
            <w:rFonts w:hint="eastAsia"/>
            <w:b/>
            <w:vanish/>
          </w:rPr>
          <w:t>5、基金份额变动情况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646D25" w:rsidRDefault="00646D25" w:rsidP="00646D25">
      <w:pPr>
        <w:pStyle w:val="1"/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</w:pPr>
      <w:hyperlink w:anchor="_Toc454790242" w:history="1">
        <w:r>
          <w:rPr>
            <w:rStyle w:val="a3"/>
            <w:rFonts w:hint="eastAsia"/>
            <w:b/>
            <w:vanish/>
          </w:rPr>
          <w:t>6、管理人报告</w:t>
        </w:r>
      </w:hyperlink>
      <w:r>
        <w:rPr>
          <w:rFonts w:asciiTheme="minorHAnsi" w:eastAsiaTheme="minorEastAsia" w:hAnsiTheme="minorHAnsi" w:cstheme="minorBidi"/>
          <w:bCs w:val="0"/>
          <w:vanish/>
          <w:kern w:val="2"/>
          <w:sz w:val="21"/>
          <w:szCs w:val="22"/>
          <w:lang w:val="en-US" w:eastAsia="zh-CN"/>
        </w:rPr>
        <w:t xml:space="preserve"> </w:t>
      </w:r>
    </w:p>
    <w:p w:rsidR="00646D25" w:rsidRDefault="00646D25" w:rsidP="00646D25">
      <w:pPr>
        <w:spacing w:after="0" w:line="260" w:lineRule="exact"/>
        <w:rPr>
          <w:rFonts w:ascii="黑体" w:eastAsia="黑体" w:hAnsi="黑体"/>
          <w:kern w:val="2"/>
          <w:sz w:val="24"/>
          <w:szCs w:val="24"/>
        </w:rPr>
      </w:pPr>
      <w:r>
        <w:rPr>
          <w:rFonts w:ascii="黑体" w:eastAsia="黑体" w:hAnsi="黑体" w:hint="eastAsia"/>
          <w:kern w:val="2"/>
          <w:sz w:val="24"/>
          <w:szCs w:val="24"/>
        </w:rPr>
        <w:fldChar w:fldCharType="end"/>
      </w:r>
    </w:p>
    <w:p w:rsidR="00646D25" w:rsidRDefault="00646D25" w:rsidP="00646D25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0" w:name="_Toc454790235"/>
      <w:r>
        <w:rPr>
          <w:rFonts w:ascii="宋体" w:eastAsia="宋体" w:hAnsi="宋体" w:hint="eastAsia"/>
          <w:b/>
          <w:kern w:val="2"/>
          <w:sz w:val="24"/>
          <w:szCs w:val="24"/>
        </w:rPr>
        <w:t>1、基金基本情况</w:t>
      </w:r>
      <w:bookmarkEnd w:id="0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646D25" w:rsidRDefault="00646D25" w:rsidP="00646D25">
      <w:pPr>
        <w:pStyle w:val="a4"/>
        <w:spacing w:after="0" w:line="220" w:lineRule="atLeast"/>
        <w:ind w:left="360" w:firstLineChars="0" w:firstLine="0"/>
        <w:rPr>
          <w:rFonts w:ascii="宋体" w:eastAsia="宋体" w:hAnsi="宋体" w:hint="eastAsia"/>
          <w:kern w:val="2"/>
          <w:sz w:val="21"/>
          <w:szCs w:val="2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46D25" w:rsidTr="00B455F3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项目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信息 </w:t>
            </w:r>
          </w:p>
        </w:tc>
      </w:tr>
      <w:tr w:rsidR="00646D25" w:rsidTr="00B455F3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基金名称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信复创值2号基金</w:t>
            </w:r>
          </w:p>
        </w:tc>
      </w:tr>
      <w:tr w:rsidR="00646D25" w:rsidTr="00B455F3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基金编号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S20770</w:t>
            </w:r>
          </w:p>
        </w:tc>
      </w:tr>
      <w:tr w:rsidR="00646D25" w:rsidTr="00B455F3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基金管理人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北京信复创值投资管理有限公司</w:t>
            </w:r>
          </w:p>
        </w:tc>
      </w:tr>
      <w:tr w:rsidR="00646D25" w:rsidTr="00B455F3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基金托管人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招商证券股份有限公司</w:t>
            </w:r>
          </w:p>
        </w:tc>
      </w:tr>
      <w:tr w:rsidR="00646D25" w:rsidTr="00B455F3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基金运作方式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开放式</w:t>
            </w:r>
          </w:p>
        </w:tc>
      </w:tr>
      <w:tr w:rsidR="00646D25" w:rsidTr="00B455F3">
        <w:trPr>
          <w:trHeight w:val="28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基金合同生效日期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2014年08月25日</w:t>
            </w:r>
          </w:p>
        </w:tc>
      </w:tr>
      <w:tr w:rsidR="00646D25" w:rsidTr="00B455F3">
        <w:trPr>
          <w:trHeight w:val="3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报告期末基金份额总额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44,424,763.67份</w:t>
            </w:r>
          </w:p>
        </w:tc>
      </w:tr>
      <w:tr w:rsidR="00646D25" w:rsidTr="00B455F3">
        <w:trPr>
          <w:trHeight w:val="3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投资目标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追求长期年平均回报率超越沪深300指数，为客户创造长期稳定的绝对回报。</w:t>
            </w:r>
          </w:p>
        </w:tc>
      </w:tr>
      <w:tr w:rsidR="00646D25" w:rsidTr="00B455F3">
        <w:trPr>
          <w:trHeight w:val="3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投资策略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司选用“量化选股，量化择时”的投资策略。公司将长期的主动投资实战方法与量化投资方法相结合，形成了公司多策略的投资体系。公司采用立足于大数据研究之上的量化模型投资方法，以公开的市场数据为基础，采用不同的量化工具识别跟踪市场最具上涨潜力的股票组合，并量化择时投资，以追求风险调整后的最优回报。</w:t>
            </w:r>
          </w:p>
        </w:tc>
      </w:tr>
      <w:tr w:rsidR="00646D25" w:rsidTr="00B455F3">
        <w:trPr>
          <w:trHeight w:val="3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业绩比较基准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沪深300股指</w:t>
            </w:r>
          </w:p>
        </w:tc>
      </w:tr>
      <w:tr w:rsidR="00646D25" w:rsidTr="00B455F3">
        <w:trPr>
          <w:trHeight w:val="3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风险收益特征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本季末最新净值为1.7901，收益率标准差为0.0525。</w:t>
            </w:r>
          </w:p>
        </w:tc>
      </w:tr>
    </w:tbl>
    <w:p w:rsidR="00646D25" w:rsidRDefault="00646D25" w:rsidP="00646D25">
      <w:pPr>
        <w:pStyle w:val="a4"/>
        <w:spacing w:after="0" w:line="220" w:lineRule="atLeast"/>
        <w:ind w:left="360" w:firstLineChars="0" w:firstLine="0"/>
        <w:rPr>
          <w:sz w:val="24"/>
          <w:szCs w:val="24"/>
        </w:rPr>
      </w:pPr>
    </w:p>
    <w:p w:rsidR="00646D25" w:rsidRDefault="00646D25" w:rsidP="00646D25">
      <w:pPr>
        <w:spacing w:after="0" w:line="220" w:lineRule="atLeast"/>
        <w:outlineLvl w:val="0"/>
        <w:rPr>
          <w:rFonts w:ascii="宋体" w:eastAsia="宋体" w:hAnsi="宋体"/>
          <w:b/>
          <w:kern w:val="2"/>
          <w:sz w:val="24"/>
          <w:szCs w:val="24"/>
        </w:rPr>
      </w:pPr>
      <w:bookmarkStart w:id="1" w:name="_Toc454790236"/>
      <w:r>
        <w:rPr>
          <w:rFonts w:ascii="宋体" w:eastAsia="宋体" w:hAnsi="宋体" w:hint="eastAsia"/>
          <w:b/>
          <w:kern w:val="2"/>
          <w:sz w:val="24"/>
          <w:szCs w:val="24"/>
        </w:rPr>
        <w:t>2、基金净值表现</w:t>
      </w:r>
      <w:bookmarkEnd w:id="1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646D25" w:rsidRDefault="00646D25" w:rsidP="00646D25">
      <w:pPr>
        <w:pStyle w:val="a4"/>
        <w:spacing w:after="0" w:line="220" w:lineRule="atLeast"/>
        <w:ind w:left="360" w:firstLineChars="0" w:firstLine="0"/>
        <w:rPr>
          <w:rFonts w:ascii="宋体" w:eastAsia="宋体" w:hAnsi="宋体" w:hint="eastAsia"/>
          <w:b/>
          <w:kern w:val="2"/>
          <w:sz w:val="21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843"/>
        <w:gridCol w:w="1843"/>
        <w:gridCol w:w="1842"/>
      </w:tblGrid>
      <w:tr w:rsidR="00646D25" w:rsidTr="00B455F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净值增长率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净值增长率标准差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业绩比较基准收益率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业绩比较基准收益率标准差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</w:tr>
      <w:tr w:rsidR="00646D25" w:rsidTr="00B455F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当季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-1.32%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自基金合同生效起至今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79.36%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</w:tbl>
    <w:p w:rsidR="00646D25" w:rsidRDefault="00646D25" w:rsidP="00646D25">
      <w:pPr>
        <w:widowControl w:val="0"/>
        <w:adjustRightInd/>
        <w:snapToGrid/>
        <w:spacing w:after="0"/>
        <w:jc w:val="both"/>
        <w:rPr>
          <w:rFonts w:ascii="Times New Roman" w:eastAsia="宋体" w:hAnsi="Times New Roman"/>
          <w:kern w:val="2"/>
          <w:sz w:val="21"/>
          <w:szCs w:val="20"/>
        </w:rPr>
      </w:pPr>
    </w:p>
    <w:p w:rsidR="00646D25" w:rsidRDefault="00646D25" w:rsidP="00646D25">
      <w:pPr>
        <w:widowControl w:val="0"/>
        <w:adjustRightInd/>
        <w:snapToGrid/>
        <w:spacing w:after="0"/>
        <w:jc w:val="both"/>
        <w:rPr>
          <w:rFonts w:ascii="Times New Roman" w:eastAsia="宋体" w:hAnsi="Times New Roman"/>
          <w:kern w:val="2"/>
          <w:sz w:val="21"/>
          <w:szCs w:val="20"/>
        </w:rPr>
      </w:pPr>
      <w:r>
        <w:rPr>
          <w:rFonts w:ascii="Times New Roman" w:eastAsia="宋体" w:hAnsi="Times New Roman" w:hint="eastAsia"/>
          <w:kern w:val="2"/>
          <w:sz w:val="21"/>
          <w:szCs w:val="20"/>
        </w:rPr>
        <w:t>说明：净值增长率等于（期末累计净值</w:t>
      </w:r>
      <w:r>
        <w:rPr>
          <w:rFonts w:ascii="Times New Roman" w:eastAsia="宋体" w:hAnsi="Times New Roman"/>
          <w:kern w:val="2"/>
          <w:sz w:val="21"/>
          <w:szCs w:val="20"/>
        </w:rPr>
        <w:t>-</w:t>
      </w:r>
      <w:r>
        <w:rPr>
          <w:rFonts w:ascii="Times New Roman" w:eastAsia="宋体" w:hAnsi="Times New Roman" w:hint="eastAsia"/>
          <w:kern w:val="2"/>
          <w:sz w:val="21"/>
          <w:szCs w:val="20"/>
        </w:rPr>
        <w:t>期初累计净值）</w:t>
      </w:r>
      <w:r>
        <w:rPr>
          <w:rFonts w:ascii="Times New Roman" w:eastAsia="宋体" w:hAnsi="Times New Roman"/>
          <w:kern w:val="2"/>
          <w:sz w:val="21"/>
          <w:szCs w:val="20"/>
        </w:rPr>
        <w:t>/</w:t>
      </w:r>
      <w:r>
        <w:rPr>
          <w:rFonts w:ascii="Times New Roman" w:eastAsia="宋体" w:hAnsi="Times New Roman" w:hint="eastAsia"/>
          <w:kern w:val="2"/>
          <w:sz w:val="21"/>
          <w:szCs w:val="20"/>
        </w:rPr>
        <w:t>期初累计净值</w:t>
      </w:r>
      <w:r>
        <w:rPr>
          <w:rFonts w:ascii="Times New Roman" w:eastAsia="宋体" w:hAnsi="Times New Roman"/>
          <w:kern w:val="2"/>
          <w:sz w:val="21"/>
          <w:szCs w:val="20"/>
        </w:rPr>
        <w:t xml:space="preserve"> </w:t>
      </w:r>
    </w:p>
    <w:p w:rsidR="00646D25" w:rsidRDefault="00646D25" w:rsidP="00646D25">
      <w:pPr>
        <w:widowControl w:val="0"/>
        <w:adjustRightInd/>
        <w:snapToGrid/>
        <w:spacing w:after="0"/>
        <w:ind w:firstLineChars="300" w:firstLine="630"/>
        <w:jc w:val="both"/>
        <w:rPr>
          <w:rFonts w:ascii="Times New Roman" w:eastAsia="宋体" w:hAnsi="Times New Roman"/>
          <w:kern w:val="2"/>
          <w:sz w:val="21"/>
          <w:szCs w:val="20"/>
        </w:rPr>
      </w:pPr>
      <w:r>
        <w:rPr>
          <w:rFonts w:ascii="Times New Roman" w:eastAsia="宋体" w:hAnsi="Times New Roman" w:hint="eastAsia"/>
          <w:kern w:val="2"/>
          <w:sz w:val="21"/>
          <w:szCs w:val="20"/>
        </w:rPr>
        <w:t>当季净值增长率等于（本季度末累计净值</w:t>
      </w:r>
      <w:r>
        <w:rPr>
          <w:rFonts w:ascii="Times New Roman" w:eastAsia="宋体" w:hAnsi="Times New Roman"/>
          <w:kern w:val="2"/>
          <w:sz w:val="21"/>
          <w:szCs w:val="20"/>
        </w:rPr>
        <w:t>-</w:t>
      </w:r>
      <w:r>
        <w:rPr>
          <w:rFonts w:ascii="Times New Roman" w:eastAsia="宋体" w:hAnsi="Times New Roman" w:hint="eastAsia"/>
          <w:kern w:val="2"/>
          <w:sz w:val="21"/>
          <w:szCs w:val="20"/>
        </w:rPr>
        <w:t>上季度末累计净值）</w:t>
      </w:r>
      <w:r>
        <w:rPr>
          <w:rFonts w:ascii="Times New Roman" w:eastAsia="宋体" w:hAnsi="Times New Roman"/>
          <w:kern w:val="2"/>
          <w:sz w:val="21"/>
          <w:szCs w:val="20"/>
        </w:rPr>
        <w:t>/</w:t>
      </w:r>
      <w:r>
        <w:rPr>
          <w:rFonts w:ascii="Times New Roman" w:eastAsia="宋体" w:hAnsi="Times New Roman" w:hint="eastAsia"/>
          <w:kern w:val="2"/>
          <w:sz w:val="21"/>
          <w:szCs w:val="20"/>
        </w:rPr>
        <w:t>上季度末累计净值</w:t>
      </w:r>
      <w:r>
        <w:rPr>
          <w:rFonts w:ascii="Times New Roman" w:eastAsia="宋体" w:hAnsi="Times New Roman"/>
          <w:kern w:val="2"/>
          <w:sz w:val="21"/>
          <w:szCs w:val="20"/>
        </w:rPr>
        <w:t xml:space="preserve"> </w:t>
      </w:r>
    </w:p>
    <w:p w:rsidR="00646D25" w:rsidRDefault="00646D25" w:rsidP="00646D25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646D25" w:rsidRDefault="00646D25" w:rsidP="00646D25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2" w:name="_Toc454790237"/>
      <w:r>
        <w:rPr>
          <w:rFonts w:ascii="宋体" w:eastAsia="宋体" w:hAnsi="宋体" w:hint="eastAsia"/>
          <w:b/>
          <w:kern w:val="2"/>
          <w:sz w:val="24"/>
          <w:szCs w:val="24"/>
        </w:rPr>
        <w:t>3、主要财务指标</w:t>
      </w:r>
      <w:bookmarkEnd w:id="2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646D25" w:rsidRDefault="00646D25" w:rsidP="00646D25">
      <w:pPr>
        <w:pStyle w:val="a4"/>
        <w:spacing w:after="0" w:line="220" w:lineRule="atLeast"/>
        <w:ind w:left="360" w:firstLineChars="0" w:firstLine="0"/>
        <w:jc w:val="right"/>
        <w:rPr>
          <w:rFonts w:ascii="宋体" w:eastAsia="宋体" w:hAnsi="宋体" w:hint="eastAsia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 xml:space="preserve">单位：人民币元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</w:tblGrid>
      <w:tr w:rsidR="00646D25" w:rsidTr="00B455F3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wordWrap w:val="0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2016-04-01至2016-06-30</w:t>
            </w:r>
          </w:p>
        </w:tc>
      </w:tr>
      <w:tr w:rsidR="00646D25" w:rsidTr="00B455F3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本期已实现收益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3,758,176.86</w:t>
            </w:r>
          </w:p>
        </w:tc>
      </w:tr>
      <w:tr w:rsidR="00646D25" w:rsidTr="00B455F3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本期利润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-505,033.81</w:t>
            </w:r>
          </w:p>
        </w:tc>
      </w:tr>
      <w:tr w:rsidR="00646D25" w:rsidTr="00B455F3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期末基金资产净值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79,680,335.58</w:t>
            </w:r>
          </w:p>
        </w:tc>
      </w:tr>
      <w:tr w:rsidR="00646D25" w:rsidTr="00B455F3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both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期末基金份额净值</w:t>
            </w: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1.7936</w:t>
            </w:r>
          </w:p>
        </w:tc>
      </w:tr>
    </w:tbl>
    <w:p w:rsidR="00646D25" w:rsidRDefault="00646D25" w:rsidP="00646D25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646D25" w:rsidRDefault="00646D25" w:rsidP="00646D25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3" w:name="_Toc454790238"/>
      <w:r>
        <w:rPr>
          <w:rFonts w:ascii="宋体" w:eastAsia="宋体" w:hAnsi="宋体" w:hint="eastAsia"/>
          <w:b/>
          <w:kern w:val="2"/>
          <w:sz w:val="24"/>
          <w:szCs w:val="24"/>
        </w:rPr>
        <w:lastRenderedPageBreak/>
        <w:t>4、投资组合报告</w:t>
      </w:r>
      <w:bookmarkEnd w:id="3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646D25" w:rsidRDefault="00646D25" w:rsidP="00646D25">
      <w:pPr>
        <w:pStyle w:val="a4"/>
        <w:spacing w:after="0" w:line="400" w:lineRule="exact"/>
        <w:ind w:firstLineChars="0" w:firstLine="0"/>
        <w:outlineLvl w:val="1"/>
        <w:rPr>
          <w:rFonts w:ascii="宋体" w:eastAsia="宋体" w:hAnsi="宋体" w:hint="eastAsia"/>
          <w:b/>
          <w:kern w:val="2"/>
          <w:sz w:val="21"/>
          <w:szCs w:val="21"/>
        </w:rPr>
      </w:pPr>
      <w:bookmarkStart w:id="4" w:name="_Toc454790239"/>
      <w:r>
        <w:rPr>
          <w:rFonts w:ascii="宋体" w:eastAsia="宋体" w:hAnsi="宋体" w:hint="eastAsia"/>
          <w:b/>
          <w:kern w:val="2"/>
          <w:sz w:val="21"/>
          <w:szCs w:val="21"/>
        </w:rPr>
        <w:t>4.1 期末基金资产组合情况</w:t>
      </w:r>
      <w:bookmarkEnd w:id="4"/>
      <w:r>
        <w:rPr>
          <w:rFonts w:ascii="宋体" w:eastAsia="宋体" w:hAnsi="宋体" w:hint="eastAsia"/>
          <w:b/>
          <w:kern w:val="2"/>
          <w:sz w:val="21"/>
          <w:szCs w:val="21"/>
        </w:rPr>
        <w:t xml:space="preserve"> </w:t>
      </w:r>
    </w:p>
    <w:p w:rsidR="00646D25" w:rsidRDefault="00646D25" w:rsidP="00646D25">
      <w:pPr>
        <w:pStyle w:val="a4"/>
        <w:spacing w:after="0" w:line="400" w:lineRule="exact"/>
        <w:ind w:firstLineChars="0" w:firstLine="0"/>
        <w:jc w:val="right"/>
        <w:rPr>
          <w:rFonts w:ascii="宋体" w:eastAsia="宋体" w:hAnsi="宋体" w:hint="eastAsia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 xml:space="preserve">金额单位：元 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702"/>
        <w:gridCol w:w="2075"/>
        <w:gridCol w:w="1811"/>
      </w:tblGrid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序号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项目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金额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占基金总资产的 </w:t>
            </w:r>
          </w:p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比例（%） 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权益投资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53,088,011.30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66.60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其中：普通股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53,088,011.30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66.60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ind w:firstLineChars="300" w:firstLine="63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存托凭证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基金投资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固定收益投资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其中：债券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资产支持证券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金融衍生品投资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其中：远期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ind w:firstLineChars="300" w:firstLine="63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期货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ind w:firstLineChars="300" w:firstLine="63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期权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ind w:firstLineChars="298" w:firstLine="626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权证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买入返售金融资产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ind w:left="630" w:hangingChars="300" w:hanging="63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其中：买断式回购的买入返售金融资产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货币市场工具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银行存款和结算备付金合计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7,140,641.18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8.96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其他各项资产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19,483,576.61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24.44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合计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79,712,229.09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100.00</w:t>
            </w:r>
          </w:p>
        </w:tc>
      </w:tr>
    </w:tbl>
    <w:p w:rsidR="00646D25" w:rsidRDefault="00646D25" w:rsidP="00646D25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646D25" w:rsidRDefault="00646D25" w:rsidP="00646D25">
      <w:pPr>
        <w:widowControl w:val="0"/>
        <w:adjustRightInd/>
        <w:snapToGrid/>
        <w:spacing w:after="0"/>
        <w:jc w:val="both"/>
        <w:rPr>
          <w:rFonts w:hint="eastAsia"/>
        </w:rPr>
      </w:pPr>
      <w:r>
        <w:rPr>
          <w:rFonts w:ascii="Times New Roman" w:eastAsia="宋体" w:hAnsi="Times New Roman" w:hint="eastAsia"/>
          <w:kern w:val="2"/>
          <w:sz w:val="21"/>
          <w:szCs w:val="20"/>
        </w:rPr>
        <w:t>注：其他各项资产：主要包括三方存管保证金、其他私募基金、基金公司专户、券商资管计划、有限合伙企业股权、未上市企业股权等。</w:t>
      </w:r>
    </w:p>
    <w:p w:rsidR="00646D25" w:rsidRDefault="00646D25" w:rsidP="00646D25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646D25" w:rsidRDefault="00646D25" w:rsidP="00646D25">
      <w:pPr>
        <w:pStyle w:val="a4"/>
        <w:spacing w:after="0" w:line="400" w:lineRule="exact"/>
        <w:ind w:firstLineChars="0" w:firstLine="0"/>
        <w:outlineLvl w:val="1"/>
        <w:rPr>
          <w:rFonts w:ascii="宋体" w:eastAsia="宋体" w:hAnsi="宋体" w:hint="eastAsia"/>
          <w:b/>
          <w:kern w:val="2"/>
          <w:sz w:val="21"/>
          <w:szCs w:val="21"/>
        </w:rPr>
      </w:pPr>
      <w:bookmarkStart w:id="5" w:name="_Toc454790240"/>
      <w:r>
        <w:rPr>
          <w:rFonts w:ascii="宋体" w:eastAsia="宋体" w:hAnsi="宋体" w:hint="eastAsia"/>
          <w:b/>
          <w:kern w:val="2"/>
          <w:sz w:val="21"/>
          <w:szCs w:val="21"/>
        </w:rPr>
        <w:t>4.2 期末按行业分类的股票投资组合(不含沪港通)</w:t>
      </w:r>
      <w:bookmarkEnd w:id="5"/>
      <w:r>
        <w:rPr>
          <w:rFonts w:ascii="宋体" w:eastAsia="宋体" w:hAnsi="宋体" w:hint="eastAsia"/>
          <w:b/>
          <w:kern w:val="2"/>
          <w:sz w:val="21"/>
          <w:szCs w:val="21"/>
        </w:rPr>
        <w:t xml:space="preserve"> </w:t>
      </w:r>
    </w:p>
    <w:p w:rsidR="00646D25" w:rsidRDefault="00646D25" w:rsidP="00646D25">
      <w:pPr>
        <w:pStyle w:val="a4"/>
        <w:spacing w:after="0" w:line="400" w:lineRule="exact"/>
        <w:ind w:firstLineChars="0" w:firstLine="0"/>
        <w:jc w:val="right"/>
        <w:rPr>
          <w:rFonts w:ascii="宋体" w:eastAsia="宋体" w:hAnsi="宋体" w:hint="eastAsia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 xml:space="preserve">金额单位：元 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702"/>
        <w:gridCol w:w="2075"/>
        <w:gridCol w:w="1811"/>
      </w:tblGrid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序号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行业类别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公允价值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占基金资产净值比例（%） 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农、林、牧、渔业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3,136,263.00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3.94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采矿业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1,136,592.00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1.43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制造业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35,174,487.50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44.14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D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电力、热力、燃气及水生产和供应业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1,765,330.00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2.22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E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建筑业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457,640.00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0.57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F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批发和零售业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4,031,281.80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5.06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G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交通运输、仓储和邮政业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1,492,545.00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1.87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H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住宿和餐饮业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I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信息传输、软件和信息技术服务业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641,773.00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J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金融业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K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房地产业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1,839,613.00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2.31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L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租赁和商务服务业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M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科学研究和技术服务业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715,920.00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0.90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N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水利、环境和公共设施管理业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1,674,454.00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2.10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O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居民服务、修理和其他服务业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 xml:space="preserve">P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教育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Q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卫生和社会工作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R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文化、体育和娱乐业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S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综合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1,022,112.00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1.28</w:t>
            </w:r>
          </w:p>
        </w:tc>
      </w:tr>
      <w:tr w:rsidR="00646D25" w:rsidTr="00B455F3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25" w:rsidRDefault="00646D25" w:rsidP="00B455F3">
            <w:pPr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合计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53,088,011.30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66.63</w:t>
            </w:r>
          </w:p>
        </w:tc>
      </w:tr>
    </w:tbl>
    <w:p w:rsidR="00646D25" w:rsidRDefault="00646D25" w:rsidP="00646D25">
      <w:pPr>
        <w:pStyle w:val="a4"/>
        <w:spacing w:after="0" w:line="400" w:lineRule="exact"/>
        <w:ind w:firstLineChars="0" w:firstLine="0"/>
        <w:rPr>
          <w:rFonts w:ascii="宋体" w:eastAsia="宋体" w:hAnsi="宋体"/>
          <w:b/>
          <w:kern w:val="2"/>
          <w:sz w:val="21"/>
          <w:szCs w:val="21"/>
        </w:rPr>
      </w:pPr>
    </w:p>
    <w:p w:rsidR="00646D25" w:rsidRDefault="00646D25" w:rsidP="00646D25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6" w:name="_Toc454790241"/>
      <w:r>
        <w:rPr>
          <w:rFonts w:ascii="宋体" w:eastAsia="宋体" w:hAnsi="宋体" w:hint="eastAsia"/>
          <w:b/>
          <w:kern w:val="2"/>
          <w:sz w:val="24"/>
          <w:szCs w:val="24"/>
        </w:rPr>
        <w:t>5、基金份额变动情况</w:t>
      </w:r>
      <w:bookmarkEnd w:id="6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646D25" w:rsidRDefault="00646D25" w:rsidP="00646D25">
      <w:pPr>
        <w:pStyle w:val="a4"/>
        <w:spacing w:after="0" w:line="220" w:lineRule="atLeast"/>
        <w:ind w:left="360" w:firstLineChars="0" w:firstLine="0"/>
        <w:jc w:val="right"/>
        <w:rPr>
          <w:rFonts w:ascii="宋体" w:eastAsia="宋体" w:hAnsi="宋体" w:hint="eastAsia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 xml:space="preserve">单位：份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</w:tblGrid>
      <w:tr w:rsidR="00646D25" w:rsidTr="00B455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 w:line="36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报告期期初基金份额总额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31,950,041.84</w:t>
            </w:r>
          </w:p>
        </w:tc>
      </w:tr>
      <w:tr w:rsidR="00646D25" w:rsidTr="00B455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报告期期间基金总申购份额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16,385,742.42</w:t>
            </w:r>
          </w:p>
        </w:tc>
      </w:tr>
      <w:tr w:rsidR="00646D25" w:rsidTr="00B455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减：报告期期间基金总赎回份额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3,911,020.59</w:t>
            </w:r>
          </w:p>
        </w:tc>
      </w:tr>
      <w:tr w:rsidR="00646D25" w:rsidTr="00B455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报告期期间基金拆分变动份额（份额减少以“-”填列）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646D25" w:rsidTr="00B455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spacing w:after="0"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报告期期末基金份额总额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a4"/>
              <w:spacing w:after="0" w:line="220" w:lineRule="atLeast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44,424,763.67</w:t>
            </w:r>
          </w:p>
        </w:tc>
      </w:tr>
    </w:tbl>
    <w:p w:rsidR="00646D25" w:rsidRDefault="00646D25" w:rsidP="00646D25">
      <w:pPr>
        <w:pStyle w:val="a4"/>
        <w:spacing w:after="0" w:line="220" w:lineRule="atLeast"/>
        <w:ind w:left="360" w:firstLineChars="0" w:firstLine="0"/>
        <w:rPr>
          <w:rFonts w:ascii="宋体" w:eastAsia="宋体" w:hAnsi="宋体"/>
          <w:kern w:val="2"/>
          <w:sz w:val="21"/>
          <w:szCs w:val="21"/>
        </w:rPr>
      </w:pPr>
    </w:p>
    <w:p w:rsidR="00646D25" w:rsidRDefault="00646D25" w:rsidP="00646D25">
      <w:pPr>
        <w:spacing w:after="0" w:line="220" w:lineRule="atLeast"/>
        <w:outlineLvl w:val="0"/>
        <w:rPr>
          <w:rFonts w:ascii="宋体" w:eastAsia="宋体" w:hAnsi="宋体" w:hint="eastAsia"/>
          <w:b/>
          <w:kern w:val="2"/>
          <w:sz w:val="24"/>
          <w:szCs w:val="24"/>
        </w:rPr>
      </w:pPr>
      <w:bookmarkStart w:id="7" w:name="_Toc454790242"/>
      <w:r>
        <w:rPr>
          <w:rFonts w:ascii="宋体" w:eastAsia="宋体" w:hAnsi="宋体" w:hint="eastAsia"/>
          <w:b/>
          <w:kern w:val="2"/>
          <w:sz w:val="24"/>
          <w:szCs w:val="24"/>
        </w:rPr>
        <w:t>6、管理人报告</w:t>
      </w:r>
      <w:bookmarkEnd w:id="7"/>
      <w:r>
        <w:rPr>
          <w:rFonts w:ascii="宋体" w:eastAsia="宋体" w:hAnsi="宋体" w:hint="eastAsia"/>
          <w:b/>
          <w:kern w:val="2"/>
          <w:sz w:val="24"/>
          <w:szCs w:val="24"/>
        </w:rPr>
        <w:t xml:space="preserve"> </w:t>
      </w:r>
    </w:p>
    <w:p w:rsidR="00646D25" w:rsidRDefault="00646D25" w:rsidP="00646D25">
      <w:pPr>
        <w:spacing w:after="0" w:line="300" w:lineRule="exact"/>
        <w:rPr>
          <w:rFonts w:ascii="宋体" w:eastAsia="宋体" w:hAnsi="宋体" w:hint="eastAsia"/>
          <w:kern w:val="2"/>
          <w:sz w:val="21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646D25" w:rsidTr="00B455F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1.基金管理人及基金经理情况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北京信复创值投资管理有限公司成立于2013年7月23日。注册资本人民币1000万元，实缴1000万元。截至2015年12月31日，公司共管理4只基金：信复创值1号资产管理计划、信复创值2号基金、信复创值3号基金、信复创值5号基金。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基金经理：刘宇晨， 毕业于北京工业大学，1998年创建北京裂变投资顾问有限责任公司，任总经理。2013年7月创建北京信复创值投资管理有限公司，任执行董事，投资总监。20多年投资实践中，广泛调研了国内A股上市公司，在行业研究和公司定价方面有深刻的认识。拥有完善的价值投资理念，善于从基本面出发自下而上的逆向投资策略，形成独特高效的投资方法。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基金经理：耿立勋，北京工业大学学士，北京大学工商管理专业硕士。2016年3月加入信复创值的投资团队。历任国泰证券交易员，中国电力信托投资有限公司证券部权益投资经理，中国电力财务有限公司投资管理部副主任。有超过20年的股票价值投资实战经验。2010年起，全面负责中国电财投资业务的大类资产配置策略的制定和实施，投资品种涵盖股票、债券、基金及各类非标金融资产，管理投资规模超过百亿。2012年开始，研究量化投资，量化选股、量化择时及量化对冲策略日渐成熟。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2.报告期内本基金运作遵规守信情况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本基金按照国家法律法规及基金合同的相关约定进行操作，不存在违法违规及未履行基金合同承诺的情况。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本报告期内，本基金管理人严格遵守《证券投资基金法》及其配套规则和其他相关法律法规、基金合同的有关规定，勤勉尽责地管理和运用基金资产，在严格控制风险的基础上，为基金份额持有人谋求最大利益。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本报告期内，本基金运作合法合规，不存在损害基金份额持有人利益的行为。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3.报告期内基金业绩表现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截至2016年6月30日，基金单位净值为1.7901。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4.内部基金监察稽核工作情况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报告期内，本基金管理人的监察稽核工作一切从合规运作、防范和控制风险、保障基金份额持有人利益出发，由独立的监察稽核部门按照规定的权限和程序，认真履行职责，对公司、基金运作及员工行为的合法性、合规性进行定期和不定期监督和检查。发现问题及时提出建议并督促相关部门改进完善，及时与有关人员沟通。    </w:t>
            </w:r>
          </w:p>
          <w:p w:rsidR="00646D25" w:rsidRDefault="00646D25" w:rsidP="00B455F3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同时，本基金管理人根据全面性原则、独立性原则、相互制约原则、定性和定量相结合原则、重要性原则建立了一套比较完整的内部控制体系，该内部控制体系由一系列业务管理制度及相应的业务处理、控制程序组成，具体包括控制环境、风险评估、控制活动、信息和沟通、监控等要素。</w:t>
            </w:r>
          </w:p>
          <w:p w:rsidR="00646D25" w:rsidRDefault="00646D25" w:rsidP="00B455F3">
            <w:pPr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</w:p>
        </w:tc>
      </w:tr>
    </w:tbl>
    <w:p w:rsidR="00646D25" w:rsidRDefault="00646D25" w:rsidP="00646D2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DB73EB" w:rsidRPr="00646D25" w:rsidRDefault="00646D25">
      <w:bookmarkStart w:id="8" w:name="_GoBack"/>
      <w:bookmarkEnd w:id="8"/>
    </w:p>
    <w:sectPr w:rsidR="00DB73EB" w:rsidRPr="00646D25">
      <w:pgSz w:w="11906" w:h="16838"/>
      <w:pgMar w:top="1440" w:right="1800" w:bottom="1440" w:left="1800" w:header="708" w:footer="708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25"/>
    <w:rsid w:val="00613943"/>
    <w:rsid w:val="00646D25"/>
    <w:rsid w:val="00F6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30E95-84EE-4048-8588-C69D333D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2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D25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646D25"/>
    <w:pPr>
      <w:tabs>
        <w:tab w:val="right" w:leader="dot" w:pos="8296"/>
      </w:tabs>
      <w:spacing w:before="120" w:after="120"/>
    </w:pPr>
    <w:rPr>
      <w:rFonts w:ascii="宋体" w:eastAsia="宋体" w:hAnsi="宋体"/>
      <w:bCs/>
      <w:smallCaps/>
      <w:noProof/>
      <w:kern w:val="28"/>
      <w:sz w:val="20"/>
      <w:szCs w:val="20"/>
      <w:lang w:val="x-none" w:eastAsia="x-none"/>
    </w:rPr>
  </w:style>
  <w:style w:type="paragraph" w:styleId="2">
    <w:name w:val="toc 2"/>
    <w:basedOn w:val="a"/>
    <w:next w:val="a"/>
    <w:autoRedefine/>
    <w:uiPriority w:val="39"/>
    <w:semiHidden/>
    <w:unhideWhenUsed/>
    <w:rsid w:val="00646D25"/>
    <w:pPr>
      <w:tabs>
        <w:tab w:val="right" w:leader="dot" w:pos="8296"/>
      </w:tabs>
      <w:spacing w:after="0"/>
      <w:ind w:left="220"/>
    </w:pPr>
    <w:rPr>
      <w:rFonts w:ascii="宋体" w:eastAsia="宋体" w:hAnsi="宋体"/>
      <w:bCs/>
      <w:smallCaps/>
      <w:noProof/>
      <w:kern w:val="28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646D25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64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46D2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2969</Characters>
  <Application>Microsoft Office Word</Application>
  <DocSecurity>0</DocSecurity>
  <Lines>24</Lines>
  <Paragraphs>6</Paragraphs>
  <ScaleCrop>false</ScaleCrop>
  <Company>Sky123.Org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2016-07-14T03:30:00Z</dcterms:created>
  <dcterms:modified xsi:type="dcterms:W3CDTF">2016-07-14T03:31:00Z</dcterms:modified>
</cp:coreProperties>
</file>